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04CFA">
      <w:pPr>
        <w:jc w:val="center"/>
        <w:rPr>
          <w:rFonts w:ascii="黑体" w:hAnsi="黑体" w:eastAsia="黑体" w:cs="黑体"/>
          <w:b/>
          <w:sz w:val="36"/>
        </w:rPr>
      </w:pPr>
    </w:p>
    <w:p w14:paraId="2B350EDE">
      <w:pPr>
        <w:pStyle w:val="14"/>
      </w:pPr>
    </w:p>
    <w:p w14:paraId="6F92B005">
      <w:pPr>
        <w:pStyle w:val="14"/>
        <w:jc w:val="center"/>
      </w:pPr>
    </w:p>
    <w:p w14:paraId="06B1FB7B">
      <w:pPr>
        <w:rPr>
          <w:rFonts w:ascii="黑体" w:hAnsi="黑体" w:eastAsia="黑体" w:cs="黑体"/>
          <w:b/>
          <w:sz w:val="36"/>
        </w:rPr>
      </w:pPr>
    </w:p>
    <w:p w14:paraId="6744DC8A">
      <w:pPr>
        <w:rPr>
          <w:rFonts w:ascii="黑体" w:hAnsi="黑体" w:eastAsia="黑体" w:cs="黑体"/>
          <w:b/>
          <w:sz w:val="36"/>
        </w:rPr>
      </w:pPr>
    </w:p>
    <w:p w14:paraId="1EAA9805">
      <w:pPr>
        <w:jc w:val="center"/>
        <w:rPr>
          <w:rFonts w:ascii="黑体" w:hAnsi="黑体" w:eastAsia="黑体" w:cs="黑体"/>
          <w:b/>
          <w:sz w:val="36"/>
        </w:rPr>
      </w:pPr>
      <w:r>
        <w:rPr>
          <w:rFonts w:hint="eastAsia" w:ascii="黑体" w:hAnsi="黑体" w:eastAsia="黑体" w:cs="黑体"/>
          <w:b/>
          <w:sz w:val="36"/>
        </w:rPr>
        <w:t>中国计算机用户协会</w:t>
      </w:r>
    </w:p>
    <w:p w14:paraId="07CB338E">
      <w:pPr>
        <w:jc w:val="center"/>
        <w:rPr>
          <w:rFonts w:ascii="黑体" w:hAnsi="黑体" w:eastAsia="黑体" w:cs="黑体"/>
          <w:b/>
          <w:sz w:val="36"/>
        </w:rPr>
      </w:pPr>
      <w:r>
        <w:rPr>
          <w:rFonts w:hint="eastAsia" w:ascii="黑体" w:hAnsi="黑体" w:eastAsia="黑体" w:cs="黑体"/>
          <w:b/>
          <w:sz w:val="36"/>
        </w:rPr>
        <w:t>202</w:t>
      </w:r>
      <w:r>
        <w:rPr>
          <w:rFonts w:hint="eastAsia" w:ascii="黑体" w:hAnsi="黑体" w:eastAsia="黑体" w:cs="黑体"/>
          <w:b/>
          <w:sz w:val="36"/>
          <w:lang w:val="en-US" w:eastAsia="zh-CN"/>
        </w:rPr>
        <w:t>5</w:t>
      </w:r>
      <w:r>
        <w:rPr>
          <w:rFonts w:hint="eastAsia" w:ascii="黑体" w:hAnsi="黑体" w:eastAsia="黑体" w:cs="黑体"/>
          <w:b/>
          <w:sz w:val="36"/>
        </w:rPr>
        <w:t xml:space="preserve">年度中国数据中心行业调查 </w:t>
      </w:r>
    </w:p>
    <w:p w14:paraId="32FA9964">
      <w:pPr>
        <w:jc w:val="center"/>
        <w:rPr>
          <w:rFonts w:ascii="黑体" w:hAnsi="黑体" w:eastAsia="黑体" w:cs="黑体"/>
          <w:b/>
          <w:sz w:val="36"/>
        </w:rPr>
      </w:pPr>
      <w:r>
        <w:rPr>
          <w:rFonts w:hint="eastAsia" w:ascii="黑体" w:hAnsi="黑体" w:eastAsia="黑体" w:cs="黑体"/>
          <w:b/>
          <w:sz w:val="36"/>
        </w:rPr>
        <w:t>活动实施细则</w:t>
      </w:r>
    </w:p>
    <w:p w14:paraId="764FAE07">
      <w:pPr>
        <w:rPr>
          <w:rFonts w:ascii="黑体" w:hAnsi="黑体" w:eastAsia="黑体" w:cs="黑体"/>
          <w:b/>
          <w:sz w:val="36"/>
        </w:rPr>
      </w:pPr>
    </w:p>
    <w:p w14:paraId="0CF96017">
      <w:pPr>
        <w:rPr>
          <w:rFonts w:ascii="黑体" w:hAnsi="黑体" w:eastAsia="黑体" w:cs="黑体"/>
          <w:b/>
          <w:sz w:val="36"/>
        </w:rPr>
      </w:pPr>
    </w:p>
    <w:p w14:paraId="6A5C3F4C">
      <w:pPr>
        <w:rPr>
          <w:rFonts w:ascii="黑体" w:hAnsi="黑体" w:eastAsia="黑体" w:cs="黑体"/>
          <w:b/>
          <w:sz w:val="36"/>
        </w:rPr>
      </w:pPr>
    </w:p>
    <w:p w14:paraId="01DF6B06">
      <w:pPr>
        <w:rPr>
          <w:rFonts w:ascii="黑体" w:hAnsi="黑体" w:eastAsia="黑体" w:cs="黑体"/>
          <w:b/>
          <w:sz w:val="36"/>
        </w:rPr>
      </w:pPr>
    </w:p>
    <w:p w14:paraId="528E0051">
      <w:pPr>
        <w:rPr>
          <w:rFonts w:ascii="黑体" w:hAnsi="黑体" w:eastAsia="黑体" w:cs="黑体"/>
          <w:b/>
          <w:sz w:val="36"/>
        </w:rPr>
      </w:pPr>
    </w:p>
    <w:p w14:paraId="315B61C3">
      <w:pPr>
        <w:jc w:val="center"/>
        <w:rPr>
          <w:rFonts w:ascii="黑体" w:hAnsi="黑体" w:eastAsia="黑体" w:cs="黑体"/>
          <w:b/>
          <w:sz w:val="36"/>
        </w:rPr>
      </w:pPr>
    </w:p>
    <w:p w14:paraId="25BD2FE9">
      <w:pPr>
        <w:jc w:val="center"/>
        <w:rPr>
          <w:rFonts w:ascii="黑体" w:hAnsi="黑体" w:eastAsia="黑体" w:cs="黑体"/>
          <w:b/>
          <w:sz w:val="36"/>
        </w:rPr>
      </w:pPr>
      <w:r>
        <w:rPr>
          <w:rFonts w:hint="eastAsia" w:ascii="黑体" w:hAnsi="黑体" w:eastAsia="黑体" w:cs="黑体"/>
          <w:b/>
          <w:sz w:val="36"/>
        </w:rPr>
        <w:drawing>
          <wp:inline distT="0" distB="0" distL="0" distR="0">
            <wp:extent cx="1206500" cy="1187450"/>
            <wp:effectExtent l="0" t="0" r="0" b="0"/>
            <wp:docPr id="1" name="图片 1" descr="协会logolan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协会logolanz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206500" cy="1187450"/>
                    </a:xfrm>
                    <a:prstGeom prst="rect">
                      <a:avLst/>
                    </a:prstGeom>
                    <a:noFill/>
                    <a:ln>
                      <a:noFill/>
                    </a:ln>
                  </pic:spPr>
                </pic:pic>
              </a:graphicData>
            </a:graphic>
          </wp:inline>
        </w:drawing>
      </w:r>
    </w:p>
    <w:p w14:paraId="6A4F23C4">
      <w:pPr>
        <w:jc w:val="center"/>
      </w:pPr>
    </w:p>
    <w:p w14:paraId="38742137">
      <w:pPr>
        <w:jc w:val="center"/>
        <w:rPr>
          <w:szCs w:val="21"/>
        </w:rPr>
      </w:pPr>
      <w:r>
        <w:rPr>
          <w:rFonts w:hint="eastAsia"/>
        </w:rPr>
        <w:t>主办单位：</w:t>
      </w:r>
      <w:r>
        <w:rPr>
          <w:rFonts w:hint="eastAsia"/>
          <w:szCs w:val="21"/>
        </w:rPr>
        <w:t>中国计算机用户协会数据中心分会</w:t>
      </w:r>
    </w:p>
    <w:p w14:paraId="0DA26C5E">
      <w:pPr>
        <w:widowControl/>
        <w:jc w:val="left"/>
        <w:rPr>
          <w:rFonts w:ascii="Cambria" w:hAnsi="Cambria"/>
          <w:b/>
          <w:bCs/>
          <w:kern w:val="28"/>
          <w:sz w:val="32"/>
          <w:szCs w:val="32"/>
          <w:lang w:val="zh-CN"/>
        </w:rPr>
      </w:pPr>
      <w:bookmarkStart w:id="0" w:name="_Toc437344600"/>
      <w:bookmarkStart w:id="1" w:name="_Toc437348180"/>
      <w:bookmarkStart w:id="2" w:name="_Toc437356059"/>
      <w:r>
        <w:rPr>
          <w:lang w:val="zh-CN"/>
        </w:rPr>
        <w:br w:type="page"/>
      </w:r>
    </w:p>
    <w:p w14:paraId="318FC7D7">
      <w:pPr>
        <w:pStyle w:val="5"/>
        <w:jc w:val="center"/>
        <w:outlineLvl w:val="9"/>
        <w:rPr>
          <w:lang w:val="zh-CN"/>
        </w:rPr>
      </w:pPr>
      <w:r>
        <w:rPr>
          <w:lang w:val="zh-CN"/>
        </w:rPr>
        <w:t>目</w:t>
      </w:r>
      <w:r>
        <w:rPr>
          <w:rFonts w:hint="eastAsia"/>
          <w:lang w:val="zh-CN"/>
        </w:rPr>
        <w:t xml:space="preserve">  </w:t>
      </w:r>
      <w:r>
        <w:rPr>
          <w:lang w:val="zh-CN"/>
        </w:rPr>
        <w:t>录</w:t>
      </w:r>
      <w:bookmarkEnd w:id="0"/>
      <w:bookmarkEnd w:id="1"/>
      <w:bookmarkEnd w:id="2"/>
    </w:p>
    <w:p w14:paraId="3ED19D2F">
      <w:pPr>
        <w:rPr>
          <w:lang w:val="zh-CN"/>
        </w:rPr>
      </w:pPr>
    </w:p>
    <w:p w14:paraId="51D4AFD2">
      <w:pPr>
        <w:pStyle w:val="13"/>
        <w:tabs>
          <w:tab w:val="right" w:leader="dot" w:pos="8296"/>
        </w:tabs>
        <w:rPr>
          <w:kern w:val="2"/>
          <w:sz w:val="21"/>
        </w:rPr>
      </w:pPr>
      <w:r>
        <w:fldChar w:fldCharType="begin"/>
      </w:r>
      <w:r>
        <w:instrText xml:space="preserve"> TOC \o "1-3" \h \z \u </w:instrText>
      </w:r>
      <w:r>
        <w:fldChar w:fldCharType="separate"/>
      </w:r>
      <w:r>
        <w:fldChar w:fldCharType="begin"/>
      </w:r>
      <w:r>
        <w:instrText xml:space="preserve"> HYPERLINK \l "_Toc437356060" </w:instrText>
      </w:r>
      <w:r>
        <w:fldChar w:fldCharType="separate"/>
      </w:r>
      <w:r>
        <w:rPr>
          <w:rStyle w:val="8"/>
          <w:rFonts w:hint="eastAsia"/>
        </w:rPr>
        <w:t>一、行业背景</w:t>
      </w:r>
      <w:r>
        <w:tab/>
      </w:r>
      <w:r>
        <w:fldChar w:fldCharType="begin"/>
      </w:r>
      <w:r>
        <w:instrText xml:space="preserve"> PAGEREF _Toc437356060 \h </w:instrText>
      </w:r>
      <w:r>
        <w:fldChar w:fldCharType="separate"/>
      </w:r>
      <w:r>
        <w:t>2</w:t>
      </w:r>
      <w:r>
        <w:fldChar w:fldCharType="end"/>
      </w:r>
      <w:r>
        <w:fldChar w:fldCharType="end"/>
      </w:r>
    </w:p>
    <w:p w14:paraId="15C365E4">
      <w:pPr>
        <w:pStyle w:val="13"/>
        <w:tabs>
          <w:tab w:val="right" w:leader="dot" w:pos="8296"/>
        </w:tabs>
        <w:rPr>
          <w:kern w:val="2"/>
          <w:sz w:val="21"/>
        </w:rPr>
      </w:pPr>
      <w:r>
        <w:fldChar w:fldCharType="begin"/>
      </w:r>
      <w:r>
        <w:instrText xml:space="preserve"> HYPERLINK \l "_Toc437356061" </w:instrText>
      </w:r>
      <w:r>
        <w:fldChar w:fldCharType="separate"/>
      </w:r>
      <w:r>
        <w:rPr>
          <w:rStyle w:val="8"/>
          <w:rFonts w:hint="eastAsia"/>
        </w:rPr>
        <w:t>二、调查内容</w:t>
      </w:r>
      <w:r>
        <w:tab/>
      </w:r>
      <w:r>
        <w:fldChar w:fldCharType="begin"/>
      </w:r>
      <w:r>
        <w:instrText xml:space="preserve"> PAGEREF _Toc437356061 \h </w:instrText>
      </w:r>
      <w:r>
        <w:fldChar w:fldCharType="separate"/>
      </w:r>
      <w:r>
        <w:t>3</w:t>
      </w:r>
      <w:r>
        <w:fldChar w:fldCharType="end"/>
      </w:r>
      <w:r>
        <w:fldChar w:fldCharType="end"/>
      </w:r>
    </w:p>
    <w:p w14:paraId="63BDFDED">
      <w:pPr>
        <w:pStyle w:val="13"/>
        <w:tabs>
          <w:tab w:val="right" w:leader="dot" w:pos="8296"/>
        </w:tabs>
        <w:rPr>
          <w:kern w:val="2"/>
          <w:sz w:val="21"/>
        </w:rPr>
      </w:pPr>
      <w:r>
        <w:fldChar w:fldCharType="begin"/>
      </w:r>
      <w:r>
        <w:instrText xml:space="preserve"> HYPERLINK \l "_Toc437356062" </w:instrText>
      </w:r>
      <w:r>
        <w:fldChar w:fldCharType="separate"/>
      </w:r>
      <w:r>
        <w:rPr>
          <w:rStyle w:val="8"/>
          <w:rFonts w:hint="eastAsia"/>
        </w:rPr>
        <w:t>三、申报条件</w:t>
      </w:r>
      <w:r>
        <w:tab/>
      </w:r>
      <w:r>
        <w:fldChar w:fldCharType="begin"/>
      </w:r>
      <w:r>
        <w:instrText xml:space="preserve"> PAGEREF _Toc437356062 \h </w:instrText>
      </w:r>
      <w:r>
        <w:fldChar w:fldCharType="separate"/>
      </w:r>
      <w:r>
        <w:t>4</w:t>
      </w:r>
      <w:r>
        <w:fldChar w:fldCharType="end"/>
      </w:r>
      <w:r>
        <w:fldChar w:fldCharType="end"/>
      </w:r>
    </w:p>
    <w:p w14:paraId="3C804D11">
      <w:pPr>
        <w:pStyle w:val="13"/>
        <w:tabs>
          <w:tab w:val="right" w:leader="dot" w:pos="8296"/>
        </w:tabs>
        <w:rPr>
          <w:kern w:val="2"/>
          <w:sz w:val="21"/>
        </w:rPr>
      </w:pPr>
      <w:r>
        <w:fldChar w:fldCharType="begin"/>
      </w:r>
      <w:r>
        <w:instrText xml:space="preserve"> HYPERLINK \l "_Toc437356063" </w:instrText>
      </w:r>
      <w:r>
        <w:fldChar w:fldCharType="separate"/>
      </w:r>
      <w:r>
        <w:rPr>
          <w:rStyle w:val="8"/>
          <w:rFonts w:hint="eastAsia"/>
        </w:rPr>
        <w:t>四、评选标准</w:t>
      </w:r>
      <w:r>
        <w:tab/>
      </w:r>
      <w:r>
        <w:fldChar w:fldCharType="begin"/>
      </w:r>
      <w:r>
        <w:instrText xml:space="preserve"> PAGEREF _Toc437356063 \h </w:instrText>
      </w:r>
      <w:r>
        <w:fldChar w:fldCharType="separate"/>
      </w:r>
      <w:r>
        <w:t>4</w:t>
      </w:r>
      <w:r>
        <w:fldChar w:fldCharType="end"/>
      </w:r>
      <w:r>
        <w:fldChar w:fldCharType="end"/>
      </w:r>
    </w:p>
    <w:p w14:paraId="4D198D88">
      <w:pPr>
        <w:pStyle w:val="13"/>
        <w:tabs>
          <w:tab w:val="right" w:leader="dot" w:pos="8296"/>
        </w:tabs>
        <w:rPr>
          <w:kern w:val="2"/>
          <w:sz w:val="21"/>
        </w:rPr>
      </w:pPr>
      <w:r>
        <w:fldChar w:fldCharType="begin"/>
      </w:r>
      <w:r>
        <w:instrText xml:space="preserve"> HYPERLINK \l "_Toc437356064" </w:instrText>
      </w:r>
      <w:r>
        <w:fldChar w:fldCharType="separate"/>
      </w:r>
      <w:r>
        <w:rPr>
          <w:rStyle w:val="8"/>
          <w:rFonts w:hint="eastAsia"/>
        </w:rPr>
        <w:t>五、评选规则</w:t>
      </w:r>
      <w:r>
        <w:tab/>
      </w:r>
      <w:r>
        <w:fldChar w:fldCharType="begin"/>
      </w:r>
      <w:r>
        <w:instrText xml:space="preserve"> PAGEREF _Toc437356064 \h </w:instrText>
      </w:r>
      <w:r>
        <w:fldChar w:fldCharType="separate"/>
      </w:r>
      <w:r>
        <w:t>4</w:t>
      </w:r>
      <w:r>
        <w:fldChar w:fldCharType="end"/>
      </w:r>
      <w:r>
        <w:fldChar w:fldCharType="end"/>
      </w:r>
    </w:p>
    <w:p w14:paraId="1580143A">
      <w:pPr>
        <w:pStyle w:val="13"/>
        <w:tabs>
          <w:tab w:val="right" w:leader="dot" w:pos="8296"/>
        </w:tabs>
        <w:rPr>
          <w:kern w:val="2"/>
          <w:sz w:val="21"/>
        </w:rPr>
      </w:pPr>
      <w:r>
        <w:fldChar w:fldCharType="begin"/>
      </w:r>
      <w:r>
        <w:instrText xml:space="preserve"> HYPERLINK \l "_Toc437356065" </w:instrText>
      </w:r>
      <w:r>
        <w:fldChar w:fldCharType="separate"/>
      </w:r>
      <w:r>
        <w:rPr>
          <w:rStyle w:val="8"/>
          <w:rFonts w:hint="eastAsia"/>
        </w:rPr>
        <w:t>六、评选流程</w:t>
      </w:r>
      <w:r>
        <w:tab/>
      </w:r>
      <w:r>
        <w:fldChar w:fldCharType="begin"/>
      </w:r>
      <w:r>
        <w:instrText xml:space="preserve"> PAGEREF _Toc437356065 \h </w:instrText>
      </w:r>
      <w:r>
        <w:fldChar w:fldCharType="separate"/>
      </w:r>
      <w:r>
        <w:t>8</w:t>
      </w:r>
      <w:r>
        <w:fldChar w:fldCharType="end"/>
      </w:r>
      <w:r>
        <w:fldChar w:fldCharType="end"/>
      </w:r>
    </w:p>
    <w:p w14:paraId="1E4F0210">
      <w:pPr>
        <w:pStyle w:val="13"/>
        <w:tabs>
          <w:tab w:val="right" w:leader="dot" w:pos="8296"/>
        </w:tabs>
        <w:rPr>
          <w:kern w:val="2"/>
          <w:sz w:val="21"/>
        </w:rPr>
      </w:pPr>
      <w:r>
        <w:fldChar w:fldCharType="begin"/>
      </w:r>
      <w:r>
        <w:instrText xml:space="preserve"> HYPERLINK \l "_Toc437356066" </w:instrText>
      </w:r>
      <w:r>
        <w:fldChar w:fldCharType="separate"/>
      </w:r>
      <w:r>
        <w:rPr>
          <w:rStyle w:val="8"/>
          <w:rFonts w:hint="eastAsia"/>
        </w:rPr>
        <w:t>七、评选结果发布及其推广</w:t>
      </w:r>
      <w:r>
        <w:tab/>
      </w:r>
      <w:r>
        <w:fldChar w:fldCharType="begin"/>
      </w:r>
      <w:r>
        <w:instrText xml:space="preserve"> PAGEREF _Toc437356066 \h </w:instrText>
      </w:r>
      <w:r>
        <w:fldChar w:fldCharType="separate"/>
      </w:r>
      <w:r>
        <w:t>8</w:t>
      </w:r>
      <w:r>
        <w:fldChar w:fldCharType="end"/>
      </w:r>
      <w:r>
        <w:fldChar w:fldCharType="end"/>
      </w:r>
    </w:p>
    <w:p w14:paraId="13D5160C">
      <w:pPr>
        <w:pStyle w:val="13"/>
        <w:tabs>
          <w:tab w:val="right" w:leader="dot" w:pos="8296"/>
        </w:tabs>
        <w:sectPr>
          <w:footerReference r:id="rId4" w:type="first"/>
          <w:footerReference r:id="rId3" w:type="default"/>
          <w:pgSz w:w="11906" w:h="16838"/>
          <w:pgMar w:top="1134" w:right="1800" w:bottom="1440" w:left="1800" w:header="851" w:footer="992" w:gutter="0"/>
          <w:pgNumType w:start="0"/>
          <w:cols w:space="425" w:num="1"/>
          <w:docGrid w:type="lines" w:linePitch="312" w:charSpace="0"/>
        </w:sectPr>
      </w:pPr>
      <w:r>
        <w:fldChar w:fldCharType="end"/>
      </w:r>
    </w:p>
    <w:p w14:paraId="440DA5FB">
      <w:pPr>
        <w:pStyle w:val="5"/>
        <w:rPr>
          <w:rFonts w:ascii="黑体" w:hAnsi="黑体" w:eastAsia="黑体" w:cs="黑体"/>
          <w:sz w:val="36"/>
        </w:rPr>
      </w:pPr>
      <w:bookmarkStart w:id="3" w:name="_Toc437356060"/>
      <w:r>
        <w:rPr>
          <w:rFonts w:hint="eastAsia"/>
        </w:rPr>
        <w:t>一、行业背景</w:t>
      </w:r>
      <w:bookmarkEnd w:id="3"/>
    </w:p>
    <w:p w14:paraId="276E3F8F">
      <w:pPr>
        <w:spacing w:line="420" w:lineRule="exact"/>
        <w:ind w:firstLine="480" w:firstLineChars="200"/>
        <w:jc w:val="left"/>
        <w:rPr>
          <w:rFonts w:ascii="宋体" w:hAnsi="宋体" w:cs="楷体_GB2312"/>
          <w:bCs/>
          <w:kern w:val="0"/>
          <w:sz w:val="24"/>
        </w:rPr>
      </w:pPr>
      <w:r>
        <w:rPr>
          <w:rFonts w:hint="eastAsia" w:ascii="宋体" w:hAnsi="宋体" w:cs="楷体_GB2312"/>
          <w:bCs/>
          <w:kern w:val="0"/>
          <w:sz w:val="24"/>
        </w:rPr>
        <w:t>当前，随着数字经济蓬勃发展，数据中心作为各个行业信息系统运行的物理载体，已成为经济社会运行不可或缺的关键基础设施，在数字经济发展中扮演至关重要的角色。数字产业绿色低碳发展是落实党中央、国务院碳达峰、碳中和重大战略决策的重要内容。</w:t>
      </w:r>
      <w:bookmarkStart w:id="4" w:name="_Hlk133913227"/>
      <w:r>
        <w:rPr>
          <w:rFonts w:hint="eastAsia" w:ascii="宋体" w:hAnsi="宋体" w:cs="楷体_GB2312"/>
          <w:bCs/>
          <w:kern w:val="0"/>
          <w:sz w:val="24"/>
        </w:rPr>
        <w:t>为掌握数据中心行业动态并向用户会员单位推广绿色低碳应用技术,加快绿色数据中心转型，</w:t>
      </w:r>
      <w:bookmarkEnd w:id="4"/>
      <w:r>
        <w:rPr>
          <w:rFonts w:hint="eastAsia" w:ascii="宋体" w:hAnsi="宋体" w:cs="楷体_GB2312"/>
          <w:bCs/>
          <w:kern w:val="0"/>
          <w:sz w:val="24"/>
        </w:rPr>
        <w:t>中国计算机</w:t>
      </w:r>
      <w:r>
        <w:rPr>
          <w:rFonts w:hint="eastAsia" w:ascii="宋体" w:hAnsi="宋体" w:cs="楷体_GB2312"/>
          <w:bCs/>
          <w:kern w:val="0"/>
          <w:sz w:val="24"/>
          <w:szCs w:val="24"/>
        </w:rPr>
        <w:t>用户协会</w:t>
      </w:r>
      <w:r>
        <w:rPr>
          <w:rFonts w:hint="eastAsia" w:ascii="宋体" w:hAnsi="宋体" w:cs="楷体_GB2312"/>
          <w:bCs/>
          <w:kern w:val="0"/>
          <w:sz w:val="24"/>
        </w:rPr>
        <w:t>多年来一直支持开展数据中心领域的服务商和用户的调查、调研和成果应用及推广工作。截至2</w:t>
      </w:r>
      <w:r>
        <w:rPr>
          <w:rFonts w:ascii="宋体" w:hAnsi="宋体" w:cs="楷体_GB2312"/>
          <w:bCs/>
          <w:kern w:val="0"/>
          <w:sz w:val="24"/>
        </w:rPr>
        <w:t>0</w:t>
      </w:r>
      <w:r>
        <w:rPr>
          <w:rFonts w:hint="eastAsia" w:ascii="宋体" w:hAnsi="宋体" w:cs="楷体_GB2312"/>
          <w:bCs/>
          <w:kern w:val="0"/>
          <w:sz w:val="24"/>
        </w:rPr>
        <w:t>2</w:t>
      </w:r>
      <w:r>
        <w:rPr>
          <w:rFonts w:ascii="宋体" w:hAnsi="宋体" w:cs="楷体_GB2312"/>
          <w:bCs/>
          <w:kern w:val="0"/>
          <w:sz w:val="24"/>
        </w:rPr>
        <w:t>2</w:t>
      </w:r>
      <w:r>
        <w:rPr>
          <w:rFonts w:hint="eastAsia" w:ascii="宋体" w:hAnsi="宋体" w:cs="楷体_GB2312"/>
          <w:bCs/>
          <w:kern w:val="0"/>
          <w:sz w:val="24"/>
        </w:rPr>
        <w:t>年,该类活动在业界获得广泛关注和大力支持,并取得了满意效果。</w:t>
      </w:r>
    </w:p>
    <w:p w14:paraId="0104F03C">
      <w:pPr>
        <w:spacing w:line="420" w:lineRule="exact"/>
        <w:ind w:firstLine="480" w:firstLineChars="200"/>
        <w:jc w:val="left"/>
        <w:rPr>
          <w:rFonts w:ascii="宋体" w:hAnsi="宋体" w:cs="楷体_GB2312"/>
          <w:bCs/>
          <w:kern w:val="0"/>
          <w:sz w:val="24"/>
        </w:rPr>
      </w:pPr>
      <w:r>
        <w:rPr>
          <w:rFonts w:hint="eastAsia" w:ascii="宋体" w:hAnsi="宋体" w:cs="楷体_GB2312"/>
          <w:bCs/>
          <w:kern w:val="0"/>
          <w:sz w:val="24"/>
        </w:rPr>
        <w:t>数据中心作为“数字中国”的关键基础设施，在发展与监管并重的形势下，数据中心全生命周期的建设管理、节能减排和绿色低碳备受关注。由中国计算机用户协会数据中心分会（以下简称分会）组织开展的“202</w:t>
      </w:r>
      <w:r>
        <w:rPr>
          <w:rFonts w:hint="eastAsia" w:ascii="宋体" w:hAnsi="宋体" w:cs="楷体_GB2312"/>
          <w:bCs/>
          <w:kern w:val="0"/>
          <w:sz w:val="24"/>
          <w:lang w:val="en-US" w:eastAsia="zh-CN"/>
        </w:rPr>
        <w:t>5</w:t>
      </w:r>
      <w:r>
        <w:rPr>
          <w:rFonts w:hint="eastAsia" w:ascii="宋体" w:hAnsi="宋体" w:cs="楷体_GB2312"/>
          <w:bCs/>
          <w:kern w:val="0"/>
          <w:sz w:val="24"/>
        </w:rPr>
        <w:t>年度</w:t>
      </w:r>
      <w:bookmarkStart w:id="5" w:name="_Hlk26350211"/>
      <w:r>
        <w:rPr>
          <w:rFonts w:hint="eastAsia" w:ascii="宋体" w:hAnsi="宋体" w:cs="楷体_GB2312"/>
          <w:bCs/>
          <w:kern w:val="0"/>
          <w:sz w:val="24"/>
        </w:rPr>
        <w:t>中国数据中心</w:t>
      </w:r>
      <w:r>
        <w:rPr>
          <w:rFonts w:hint="eastAsia" w:ascii="宋体" w:hAnsi="宋体" w:cs="楷体_GB2312"/>
          <w:bCs/>
          <w:color w:val="000000"/>
          <w:kern w:val="0"/>
          <w:sz w:val="24"/>
        </w:rPr>
        <w:t>行业</w:t>
      </w:r>
      <w:r>
        <w:rPr>
          <w:rFonts w:hint="eastAsia" w:ascii="宋体" w:hAnsi="宋体" w:cs="楷体_GB2312"/>
          <w:bCs/>
          <w:kern w:val="0"/>
          <w:sz w:val="24"/>
        </w:rPr>
        <w:t>调查</w:t>
      </w:r>
      <w:bookmarkEnd w:id="5"/>
      <w:r>
        <w:rPr>
          <w:rFonts w:hint="eastAsia" w:ascii="宋体" w:hAnsi="宋体" w:cs="楷体_GB2312"/>
          <w:bCs/>
          <w:kern w:val="0"/>
          <w:sz w:val="24"/>
        </w:rPr>
        <w:t>” 活动将正式启动，旨在引导数据中心走</w:t>
      </w:r>
      <w:bookmarkStart w:id="6" w:name="_Hlk133913862"/>
      <w:r>
        <w:rPr>
          <w:rFonts w:hint="eastAsia" w:ascii="宋体" w:hAnsi="宋体" w:cs="楷体_GB2312"/>
          <w:bCs/>
          <w:kern w:val="0"/>
          <w:sz w:val="24"/>
        </w:rPr>
        <w:t>高效、低碳、集约、循环的绿色发展</w:t>
      </w:r>
      <w:bookmarkEnd w:id="6"/>
      <w:r>
        <w:rPr>
          <w:rFonts w:hint="eastAsia" w:ascii="宋体" w:hAnsi="宋体" w:cs="楷体_GB2312"/>
          <w:bCs/>
          <w:kern w:val="0"/>
          <w:sz w:val="24"/>
        </w:rPr>
        <w:t>道路。活动采用对数据中心建设单位、服务单位和厂商发放调查问卷的形式,收集调查数据和用户反馈信息,对数据中心项目设计、建设与运维、建设与运维规模发展状况、技术产品的发展趋势、创新成果及用户满意等多个角度进行收集、统计和分析,最终结果将于20</w:t>
      </w:r>
      <w:r>
        <w:rPr>
          <w:rFonts w:ascii="宋体" w:hAnsi="宋体" w:cs="楷体_GB2312"/>
          <w:bCs/>
          <w:kern w:val="0"/>
          <w:sz w:val="24"/>
        </w:rPr>
        <w:t>24</w:t>
      </w:r>
      <w:r>
        <w:rPr>
          <w:rFonts w:hint="eastAsia" w:ascii="宋体" w:hAnsi="宋体" w:cs="楷体_GB2312"/>
          <w:bCs/>
          <w:kern w:val="0"/>
          <w:sz w:val="24"/>
        </w:rPr>
        <w:t>年在北京举办的“奋进新征程”数据中心峰会上正式公布，为政府和行业了解数据中心的发展提供详实的数据。</w:t>
      </w:r>
    </w:p>
    <w:p w14:paraId="29E1AF91">
      <w:pPr>
        <w:spacing w:line="360" w:lineRule="auto"/>
        <w:ind w:firstLine="420"/>
        <w:rPr>
          <w:rFonts w:ascii="宋体" w:hAnsi="宋体" w:cs="宋体"/>
          <w:color w:val="000000"/>
          <w:sz w:val="24"/>
          <w:szCs w:val="24"/>
        </w:rPr>
      </w:pPr>
      <w:r>
        <w:rPr>
          <w:rFonts w:hint="eastAsia" w:ascii="宋体" w:hAnsi="宋体" w:cs="宋体"/>
          <w:color w:val="000000"/>
          <w:sz w:val="24"/>
          <w:szCs w:val="24"/>
        </w:rPr>
        <w:t>为推广在数据中心设计、建设和运维管理方面做出突出贡献的企业，中国计算机用户协会数据中心分会于2009年度启动了“2009年度（第一届）中国优秀数据中心评选”活动，并公布中国机房工程企业30强，得到了行业用户的一致认可和好评，在2010年度（第二届）中国数据中心行业峰会上，数据中心分会在颁布数据中心奖项和揭晓机房工程企业30强的同时，首次发布了机房产品用户满意度调查结果，再次引发行业关注。截至20</w:t>
      </w:r>
      <w:r>
        <w:rPr>
          <w:rFonts w:ascii="宋体" w:hAnsi="宋体" w:cs="宋体"/>
          <w:color w:val="000000"/>
          <w:sz w:val="24"/>
          <w:szCs w:val="24"/>
        </w:rPr>
        <w:t>2</w:t>
      </w:r>
      <w:r>
        <w:rPr>
          <w:rFonts w:hint="eastAsia" w:ascii="宋体" w:hAnsi="宋体" w:cs="宋体"/>
          <w:color w:val="000000"/>
          <w:sz w:val="24"/>
          <w:szCs w:val="24"/>
          <w:lang w:val="en-US" w:eastAsia="zh-CN"/>
        </w:rPr>
        <w:t>5</w:t>
      </w:r>
      <w:r>
        <w:rPr>
          <w:rFonts w:hint="eastAsia" w:ascii="宋体" w:hAnsi="宋体" w:cs="宋体"/>
          <w:color w:val="000000"/>
          <w:sz w:val="24"/>
          <w:szCs w:val="24"/>
        </w:rPr>
        <w:t>年，该评选活动在业界的广泛关注和大力支持下已成功举办十</w:t>
      </w:r>
      <w:r>
        <w:rPr>
          <w:rFonts w:hint="eastAsia" w:ascii="宋体" w:hAnsi="宋体" w:cs="宋体"/>
          <w:color w:val="000000"/>
          <w:sz w:val="24"/>
          <w:szCs w:val="24"/>
          <w:lang w:val="en-US" w:eastAsia="zh-CN"/>
        </w:rPr>
        <w:t>六</w:t>
      </w:r>
      <w:r>
        <w:rPr>
          <w:rFonts w:hint="eastAsia" w:ascii="宋体" w:hAnsi="宋体" w:cs="宋体"/>
          <w:color w:val="000000"/>
          <w:sz w:val="24"/>
          <w:szCs w:val="24"/>
        </w:rPr>
        <w:t>届，并取得了满意效果。</w:t>
      </w:r>
    </w:p>
    <w:p w14:paraId="5B485B36">
      <w:pPr>
        <w:spacing w:line="360" w:lineRule="auto"/>
        <w:ind w:firstLine="420"/>
        <w:rPr>
          <w:rFonts w:ascii="宋体" w:hAnsi="宋体" w:cs="宋体"/>
          <w:color w:val="000000"/>
          <w:sz w:val="24"/>
          <w:szCs w:val="24"/>
        </w:rPr>
      </w:pPr>
      <w:r>
        <w:rPr>
          <w:rFonts w:hint="eastAsia" w:ascii="宋体" w:hAnsi="宋体" w:cs="宋体"/>
          <w:color w:val="000000"/>
          <w:sz w:val="24"/>
          <w:szCs w:val="24"/>
        </w:rPr>
        <w:t>数据中心分会和北京国信天元质量测评认证有限公司组织的</w:t>
      </w:r>
      <w:r>
        <w:rPr>
          <w:rFonts w:ascii="宋体" w:hAnsi="宋体" w:cs="宋体"/>
          <w:color w:val="000000"/>
          <w:sz w:val="24"/>
          <w:szCs w:val="24"/>
        </w:rPr>
        <w:t>“20</w:t>
      </w:r>
      <w:r>
        <w:rPr>
          <w:rFonts w:hint="eastAsia" w:ascii="宋体" w:hAnsi="宋体" w:cs="宋体"/>
          <w:color w:val="000000"/>
          <w:sz w:val="24"/>
          <w:szCs w:val="24"/>
          <w:lang w:val="en-US" w:eastAsia="zh-CN"/>
        </w:rPr>
        <w:t>25</w:t>
      </w:r>
      <w:r>
        <w:rPr>
          <w:rFonts w:hint="eastAsia" w:ascii="宋体" w:hAnsi="宋体" w:cs="宋体"/>
          <w:color w:val="000000"/>
          <w:sz w:val="24"/>
          <w:szCs w:val="24"/>
        </w:rPr>
        <w:t>年度中国计算机用户协会中国数据中心行业调查</w:t>
      </w:r>
      <w:r>
        <w:rPr>
          <w:rFonts w:ascii="宋体" w:hAnsi="宋体" w:cs="宋体"/>
          <w:color w:val="000000"/>
          <w:sz w:val="24"/>
          <w:szCs w:val="24"/>
        </w:rPr>
        <w:t>”</w:t>
      </w:r>
      <w:r>
        <w:rPr>
          <w:rFonts w:hint="eastAsia" w:ascii="宋体" w:hAnsi="宋体" w:cs="宋体"/>
          <w:color w:val="000000"/>
          <w:sz w:val="24"/>
          <w:szCs w:val="24"/>
        </w:rPr>
        <w:t>活动已正式启动。</w:t>
      </w:r>
    </w:p>
    <w:p w14:paraId="136A3A85">
      <w:pPr>
        <w:spacing w:line="360" w:lineRule="auto"/>
        <w:ind w:firstLine="420"/>
        <w:rPr>
          <w:rFonts w:ascii="Cambria" w:hAnsi="Cambria"/>
          <w:b/>
          <w:bCs/>
          <w:kern w:val="28"/>
          <w:sz w:val="32"/>
          <w:szCs w:val="32"/>
        </w:rPr>
      </w:pPr>
      <w:r>
        <w:rPr>
          <w:rFonts w:hint="eastAsia" w:ascii="宋体" w:hAnsi="宋体" w:cs="宋体"/>
          <w:sz w:val="24"/>
          <w:szCs w:val="24"/>
        </w:rPr>
        <w:t>评选采用专家提名、企业推荐或自荐、活动组委会专家评选的方式进行，</w:t>
      </w:r>
      <w:r>
        <w:rPr>
          <w:rFonts w:hint="eastAsia" w:ascii="宋体" w:hAnsi="宋体" w:cs="宋体"/>
          <w:color w:val="000000"/>
          <w:sz w:val="24"/>
          <w:szCs w:val="24"/>
        </w:rPr>
        <w:t>评选结果将于次年3月在北京举办的</w:t>
      </w:r>
      <w:r>
        <w:rPr>
          <w:rFonts w:hint="eastAsia" w:ascii="宋体" w:hAnsi="宋体" w:cs="宋体"/>
          <w:color w:val="000000"/>
          <w:sz w:val="24"/>
          <w:szCs w:val="24"/>
          <w:lang w:val="en-US" w:eastAsia="zh-CN"/>
        </w:rPr>
        <w:t>中国</w:t>
      </w:r>
      <w:r>
        <w:rPr>
          <w:rFonts w:hint="eastAsia" w:ascii="宋体" w:hAnsi="宋体" w:cs="宋体"/>
          <w:color w:val="000000"/>
          <w:sz w:val="24"/>
          <w:szCs w:val="24"/>
        </w:rPr>
        <w:t>数据中心</w:t>
      </w:r>
      <w:r>
        <w:rPr>
          <w:rFonts w:hint="eastAsia" w:ascii="宋体" w:hAnsi="宋体" w:cs="宋体"/>
          <w:color w:val="000000"/>
          <w:sz w:val="24"/>
          <w:szCs w:val="24"/>
          <w:lang w:val="en-US" w:eastAsia="zh-CN"/>
        </w:rPr>
        <w:t>大会</w:t>
      </w:r>
      <w:r>
        <w:rPr>
          <w:rFonts w:hint="eastAsia" w:ascii="宋体" w:hAnsi="宋体" w:cs="宋体"/>
          <w:color w:val="000000"/>
          <w:sz w:val="24"/>
          <w:szCs w:val="24"/>
        </w:rPr>
        <w:t>上正式公布。</w:t>
      </w:r>
      <w:r>
        <w:br w:type="page"/>
      </w:r>
      <w:bookmarkStart w:id="7" w:name="_Toc437356061"/>
      <w:r>
        <w:rPr>
          <w:rFonts w:hint="eastAsia" w:ascii="Cambria" w:hAnsi="Cambria"/>
          <w:b/>
          <w:bCs/>
          <w:kern w:val="28"/>
          <w:sz w:val="32"/>
          <w:szCs w:val="32"/>
        </w:rPr>
        <w:t>二、调查内容</w:t>
      </w:r>
      <w:bookmarkEnd w:id="7"/>
      <w:r>
        <w:rPr>
          <w:rFonts w:hint="eastAsia" w:ascii="Cambria" w:hAnsi="Cambria"/>
          <w:b/>
          <w:bCs/>
          <w:kern w:val="28"/>
          <w:sz w:val="32"/>
          <w:szCs w:val="32"/>
        </w:rPr>
        <w:t>及材料申报</w:t>
      </w:r>
    </w:p>
    <w:p w14:paraId="49A4E6B4">
      <w:pPr>
        <w:spacing w:line="420" w:lineRule="exact"/>
        <w:ind w:firstLine="480" w:firstLineChars="200"/>
        <w:jc w:val="left"/>
        <w:rPr>
          <w:rFonts w:ascii="宋体" w:hAnsi="宋体" w:cs="楷体_GB2312"/>
          <w:bCs/>
          <w:kern w:val="0"/>
          <w:sz w:val="24"/>
        </w:rPr>
      </w:pPr>
      <w:r>
        <w:rPr>
          <w:rFonts w:hint="eastAsia" w:ascii="宋体" w:hAnsi="宋体" w:cs="楷体_GB2312"/>
          <w:bCs/>
          <w:kern w:val="0"/>
          <w:sz w:val="24"/>
        </w:rPr>
        <w:t>参与调查的单位,仅限分会的会员。问卷填写的内容必须是202</w:t>
      </w:r>
      <w:r>
        <w:rPr>
          <w:rFonts w:hint="eastAsia" w:ascii="宋体" w:hAnsi="宋体" w:cs="楷体_GB2312"/>
          <w:bCs/>
          <w:kern w:val="0"/>
          <w:sz w:val="24"/>
          <w:lang w:val="en-US" w:eastAsia="zh-CN"/>
        </w:rPr>
        <w:t>5</w:t>
      </w:r>
      <w:r>
        <w:rPr>
          <w:rFonts w:hint="eastAsia" w:ascii="宋体" w:hAnsi="宋体" w:cs="楷体_GB2312"/>
          <w:bCs/>
          <w:kern w:val="0"/>
          <w:sz w:val="24"/>
        </w:rPr>
        <w:t>年1月1日～12月31日期间的数据。会员单位申报成果可涉及202</w:t>
      </w:r>
      <w:r>
        <w:rPr>
          <w:rFonts w:hint="eastAsia" w:ascii="宋体" w:hAnsi="宋体" w:cs="楷体_GB2312"/>
          <w:bCs/>
          <w:kern w:val="0"/>
          <w:sz w:val="24"/>
          <w:lang w:val="en-US" w:eastAsia="zh-CN"/>
        </w:rPr>
        <w:t>5</w:t>
      </w:r>
      <w:r>
        <w:rPr>
          <w:rFonts w:hint="eastAsia" w:ascii="宋体" w:hAnsi="宋体" w:cs="楷体_GB2312"/>
          <w:bCs/>
          <w:kern w:val="0"/>
          <w:sz w:val="24"/>
        </w:rPr>
        <w:t>年度数据中心规划、设计、建设、运维和管理领域取得的成绩，或创新、节能、绿色、满意的产品、技术、解决方案。参与调查的单位可根据实际情况选择填写附件。填报单位应对填写内容的真实性负责，并同意接受分会组织的专家核查 。</w:t>
      </w:r>
    </w:p>
    <w:p w14:paraId="23BCA3F2">
      <w:pPr>
        <w:spacing w:line="420" w:lineRule="exact"/>
        <w:ind w:firstLine="480" w:firstLineChars="200"/>
        <w:jc w:val="left"/>
        <w:rPr>
          <w:rFonts w:ascii="宋体" w:hAnsi="宋体" w:cs="楷体_GB2312"/>
          <w:bCs/>
          <w:kern w:val="0"/>
          <w:sz w:val="24"/>
        </w:rPr>
      </w:pPr>
      <w:r>
        <w:rPr>
          <w:rFonts w:hint="eastAsia" w:ascii="宋体" w:hAnsi="宋体" w:cs="楷体_GB2312"/>
          <w:bCs/>
          <w:kern w:val="0"/>
          <w:sz w:val="24"/>
        </w:rPr>
        <w:t>申报的产品、技术和解决方案等需为202</w:t>
      </w:r>
      <w:r>
        <w:rPr>
          <w:rFonts w:hint="eastAsia" w:ascii="宋体" w:hAnsi="宋体" w:cs="楷体_GB2312"/>
          <w:bCs/>
          <w:kern w:val="0"/>
          <w:sz w:val="24"/>
          <w:lang w:val="en-US" w:eastAsia="zh-CN"/>
        </w:rPr>
        <w:t>5</w:t>
      </w:r>
      <w:r>
        <w:rPr>
          <w:rFonts w:hint="eastAsia" w:ascii="宋体" w:hAnsi="宋体" w:cs="楷体_GB2312"/>
          <w:bCs/>
          <w:kern w:val="0"/>
          <w:sz w:val="24"/>
        </w:rPr>
        <w:t>年度完成并具备符合国家标准、节约能源、降低能耗、提高管理效率、降低成本等特点,具有一定行业代表性和社会影响力，对数据中心建设管理水平的提高有积极的推动作用。</w:t>
      </w:r>
    </w:p>
    <w:p w14:paraId="3C612B1B">
      <w:pPr>
        <w:spacing w:line="600" w:lineRule="exact"/>
        <w:rPr>
          <w:rFonts w:ascii="宋体" w:hAnsi="宋体" w:cs="宋体"/>
          <w:sz w:val="28"/>
          <w:szCs w:val="28"/>
        </w:rPr>
      </w:pPr>
      <w:r>
        <w:rPr>
          <w:rFonts w:ascii="宋体" w:hAnsi="宋体"/>
          <w:b/>
          <w:sz w:val="28"/>
          <w:szCs w:val="28"/>
        </w:rPr>
        <w:t>1</w:t>
      </w:r>
      <w:r>
        <w:rPr>
          <w:rFonts w:hint="eastAsia" w:ascii="宋体" w:hAnsi="宋体" w:cs="宋体"/>
          <w:b/>
          <w:sz w:val="28"/>
          <w:szCs w:val="28"/>
        </w:rPr>
        <w:t xml:space="preserve">. </w:t>
      </w:r>
      <w:r>
        <w:rPr>
          <w:rFonts w:ascii="宋体" w:hAnsi="宋体"/>
          <w:b/>
          <w:sz w:val="28"/>
          <w:szCs w:val="28"/>
        </w:rPr>
        <w:t xml:space="preserve"> </w:t>
      </w:r>
      <w:r>
        <w:rPr>
          <w:rFonts w:hint="eastAsia" w:ascii="宋体" w:hAnsi="宋体" w:cs="宋体"/>
          <w:b/>
          <w:sz w:val="28"/>
          <w:szCs w:val="28"/>
        </w:rPr>
        <w:t>数据中心设计样板项目</w:t>
      </w:r>
      <w:r>
        <w:rPr>
          <w:rFonts w:hint="eastAsia" w:ascii="宋体" w:hAnsi="宋体" w:cs="宋体"/>
          <w:sz w:val="28"/>
          <w:szCs w:val="28"/>
        </w:rPr>
        <w:t>（设计单位和业主方）；</w:t>
      </w:r>
    </w:p>
    <w:p w14:paraId="613869B4">
      <w:pPr>
        <w:spacing w:line="600" w:lineRule="exact"/>
        <w:rPr>
          <w:rFonts w:ascii="宋体" w:hAnsi="宋体"/>
          <w:b/>
          <w:sz w:val="24"/>
        </w:rPr>
      </w:pPr>
      <w:r>
        <w:rPr>
          <w:rFonts w:hint="eastAsia" w:ascii="宋体" w:hAnsi="宋体" w:cs="宋体"/>
          <w:sz w:val="28"/>
          <w:szCs w:val="28"/>
        </w:rPr>
        <w:t xml:space="preserve">   </w:t>
      </w:r>
      <w:r>
        <w:rPr>
          <w:rFonts w:hint="eastAsia" w:ascii="宋体" w:hAnsi="宋体" w:cs="宋体"/>
          <w:color w:val="000000"/>
          <w:sz w:val="24"/>
          <w:szCs w:val="24"/>
        </w:rPr>
        <w:t>本调查表由设计单位填写，需要提供材料：设计图纸，设计方案说明</w:t>
      </w:r>
    </w:p>
    <w:p w14:paraId="67625377">
      <w:pPr>
        <w:spacing w:line="600" w:lineRule="exact"/>
        <w:rPr>
          <w:rFonts w:ascii="宋体" w:hAnsi="宋体" w:cs="宋体"/>
          <w:sz w:val="28"/>
          <w:szCs w:val="28"/>
        </w:rPr>
      </w:pPr>
      <w:r>
        <w:rPr>
          <w:rFonts w:ascii="宋体" w:hAnsi="宋体" w:cs="宋体"/>
          <w:b/>
          <w:sz w:val="28"/>
          <w:szCs w:val="28"/>
        </w:rPr>
        <w:t>2</w:t>
      </w:r>
      <w:r>
        <w:rPr>
          <w:rFonts w:hint="eastAsia" w:ascii="宋体" w:hAnsi="宋体" w:cs="宋体"/>
          <w:b/>
          <w:sz w:val="28"/>
          <w:szCs w:val="28"/>
        </w:rPr>
        <w:t>.</w:t>
      </w:r>
      <w:r>
        <w:rPr>
          <w:rFonts w:ascii="宋体" w:hAnsi="宋体" w:cs="宋体"/>
          <w:b/>
          <w:sz w:val="28"/>
          <w:szCs w:val="28"/>
        </w:rPr>
        <w:t xml:space="preserve">  </w:t>
      </w:r>
      <w:r>
        <w:rPr>
          <w:rFonts w:hint="eastAsia" w:ascii="宋体" w:hAnsi="宋体" w:cs="宋体"/>
          <w:b/>
          <w:sz w:val="28"/>
          <w:szCs w:val="28"/>
        </w:rPr>
        <w:t>数据中心实施样板项目</w:t>
      </w:r>
      <w:r>
        <w:rPr>
          <w:rFonts w:hint="eastAsia" w:ascii="宋体" w:hAnsi="宋体" w:cs="宋体"/>
          <w:sz w:val="28"/>
          <w:szCs w:val="28"/>
        </w:rPr>
        <w:t>（施工单位和业主方）；</w:t>
      </w:r>
    </w:p>
    <w:p w14:paraId="2C709948">
      <w:pPr>
        <w:spacing w:line="600" w:lineRule="exact"/>
        <w:rPr>
          <w:rFonts w:ascii="宋体" w:hAnsi="宋体"/>
          <w:sz w:val="24"/>
        </w:rPr>
      </w:pPr>
      <w:r>
        <w:rPr>
          <w:rFonts w:hint="eastAsia" w:ascii="宋体" w:hAnsi="宋体" w:cs="宋体"/>
          <w:sz w:val="28"/>
          <w:szCs w:val="28"/>
        </w:rPr>
        <w:t xml:space="preserve">   </w:t>
      </w:r>
      <w:r>
        <w:rPr>
          <w:rFonts w:hint="eastAsia" w:ascii="宋体" w:hAnsi="宋体" w:cs="宋体"/>
          <w:sz w:val="24"/>
        </w:rPr>
        <w:t>所需材料：设计实施方案说明、项目进度计划、监理文件及竣工报告</w:t>
      </w:r>
    </w:p>
    <w:p w14:paraId="1D0CFC33">
      <w:pPr>
        <w:spacing w:line="600" w:lineRule="exact"/>
        <w:rPr>
          <w:rFonts w:ascii="宋体" w:hAnsi="宋体" w:cs="宋体"/>
          <w:b/>
          <w:sz w:val="28"/>
          <w:szCs w:val="28"/>
        </w:rPr>
      </w:pPr>
      <w:r>
        <w:rPr>
          <w:rFonts w:ascii="宋体" w:hAnsi="宋体" w:cs="宋体"/>
          <w:b/>
          <w:sz w:val="28"/>
          <w:szCs w:val="28"/>
        </w:rPr>
        <w:t>3</w:t>
      </w:r>
      <w:r>
        <w:rPr>
          <w:rFonts w:hint="eastAsia" w:ascii="宋体" w:hAnsi="宋体" w:cs="宋体"/>
          <w:b/>
          <w:sz w:val="28"/>
          <w:szCs w:val="28"/>
        </w:rPr>
        <w:t>.</w:t>
      </w:r>
      <w:r>
        <w:rPr>
          <w:rFonts w:ascii="宋体" w:hAnsi="宋体" w:cs="宋体"/>
          <w:b/>
          <w:sz w:val="28"/>
          <w:szCs w:val="28"/>
        </w:rPr>
        <w:t xml:space="preserve"> </w:t>
      </w:r>
      <w:r>
        <w:rPr>
          <w:rFonts w:hint="eastAsia" w:ascii="宋体" w:hAnsi="宋体" w:cs="宋体"/>
          <w:b/>
          <w:sz w:val="28"/>
          <w:szCs w:val="28"/>
        </w:rPr>
        <w:t xml:space="preserve"> 数据中心运维样板项目（</w:t>
      </w:r>
      <w:r>
        <w:rPr>
          <w:rFonts w:hint="eastAsia" w:ascii="宋体" w:hAnsi="宋体" w:cs="宋体"/>
          <w:sz w:val="28"/>
          <w:szCs w:val="28"/>
        </w:rPr>
        <w:t>服务方和业主方</w:t>
      </w:r>
      <w:r>
        <w:rPr>
          <w:rFonts w:hint="eastAsia" w:ascii="宋体" w:hAnsi="宋体" w:cs="宋体"/>
          <w:b/>
          <w:sz w:val="28"/>
          <w:szCs w:val="28"/>
        </w:rPr>
        <w:t>）；</w:t>
      </w:r>
    </w:p>
    <w:p w14:paraId="64488017">
      <w:pPr>
        <w:spacing w:line="600" w:lineRule="exact"/>
        <w:rPr>
          <w:rFonts w:ascii="宋体" w:hAnsi="宋体" w:cs="宋体"/>
          <w:sz w:val="24"/>
          <w:szCs w:val="24"/>
        </w:rPr>
      </w:pPr>
      <w:r>
        <w:rPr>
          <w:rFonts w:hint="eastAsia" w:ascii="宋体" w:hAnsi="宋体" w:cs="宋体"/>
          <w:sz w:val="24"/>
          <w:szCs w:val="24"/>
        </w:rPr>
        <w:t xml:space="preserve">  所需材料：运维管理制度、人员分工、业主使用感受</w:t>
      </w:r>
    </w:p>
    <w:p w14:paraId="49278D89">
      <w:pPr>
        <w:spacing w:line="600" w:lineRule="exact"/>
        <w:rPr>
          <w:rFonts w:ascii="宋体" w:hAnsi="宋体" w:cs="宋体"/>
          <w:sz w:val="28"/>
          <w:szCs w:val="28"/>
        </w:rPr>
      </w:pPr>
      <w:r>
        <w:rPr>
          <w:rFonts w:ascii="宋体" w:hAnsi="宋体" w:cs="宋体"/>
          <w:b/>
          <w:sz w:val="28"/>
          <w:szCs w:val="28"/>
        </w:rPr>
        <w:t>4</w:t>
      </w:r>
      <w:r>
        <w:rPr>
          <w:rFonts w:hint="eastAsia" w:ascii="宋体" w:hAnsi="宋体" w:cs="宋体"/>
          <w:b/>
          <w:sz w:val="28"/>
          <w:szCs w:val="28"/>
        </w:rPr>
        <w:t xml:space="preserve">. </w:t>
      </w:r>
      <w:r>
        <w:rPr>
          <w:rFonts w:hint="eastAsia" w:ascii="宋体" w:hAnsi="宋体"/>
          <w:b/>
          <w:sz w:val="28"/>
          <w:szCs w:val="28"/>
        </w:rPr>
        <w:t xml:space="preserve"> </w:t>
      </w:r>
      <w:r>
        <w:rPr>
          <w:rFonts w:hint="eastAsia" w:ascii="宋体" w:hAnsi="宋体" w:cs="宋体"/>
          <w:b/>
          <w:sz w:val="28"/>
          <w:szCs w:val="28"/>
        </w:rPr>
        <w:t>数据中心最佳管理团队（业主方）</w:t>
      </w:r>
      <w:r>
        <w:rPr>
          <w:rFonts w:hint="eastAsia" w:ascii="宋体" w:hAnsi="宋体" w:cs="宋体"/>
          <w:sz w:val="28"/>
          <w:szCs w:val="28"/>
        </w:rPr>
        <w:t>；</w:t>
      </w:r>
    </w:p>
    <w:p w14:paraId="6CD82F05">
      <w:pPr>
        <w:spacing w:line="600" w:lineRule="exact"/>
        <w:rPr>
          <w:rFonts w:ascii="宋体" w:hAnsi="宋体" w:cs="宋体"/>
          <w:szCs w:val="21"/>
        </w:rPr>
      </w:pPr>
      <w:r>
        <w:rPr>
          <w:rFonts w:hint="eastAsia" w:ascii="宋体" w:hAnsi="宋体" w:cs="宋体"/>
          <w:sz w:val="28"/>
          <w:szCs w:val="28"/>
        </w:rPr>
        <w:t xml:space="preserve">  </w:t>
      </w:r>
      <w:r>
        <w:rPr>
          <w:rFonts w:hint="eastAsia" w:ascii="宋体" w:hAnsi="宋体" w:cs="宋体"/>
          <w:sz w:val="24"/>
        </w:rPr>
        <w:t xml:space="preserve"> </w:t>
      </w:r>
      <w:r>
        <w:rPr>
          <w:rFonts w:hint="eastAsia" w:ascii="宋体" w:hAnsi="宋体" w:cs="宋体"/>
          <w:szCs w:val="21"/>
        </w:rPr>
        <w:t>所需材料：管理制度、团队结构设置</w:t>
      </w:r>
    </w:p>
    <w:p w14:paraId="52CB3E58">
      <w:pPr>
        <w:spacing w:line="600" w:lineRule="exact"/>
        <w:rPr>
          <w:rFonts w:ascii="宋体" w:hAnsi="宋体" w:cs="宋体"/>
          <w:b/>
          <w:sz w:val="28"/>
          <w:szCs w:val="28"/>
        </w:rPr>
      </w:pPr>
      <w:r>
        <w:rPr>
          <w:rFonts w:ascii="宋体" w:hAnsi="宋体" w:cs="宋体"/>
          <w:b/>
          <w:sz w:val="28"/>
          <w:szCs w:val="28"/>
        </w:rPr>
        <w:t>5</w:t>
      </w:r>
      <w:r>
        <w:rPr>
          <w:rFonts w:hint="eastAsia" w:ascii="宋体" w:hAnsi="宋体" w:cs="宋体"/>
          <w:b/>
          <w:sz w:val="28"/>
          <w:szCs w:val="28"/>
        </w:rPr>
        <w:t xml:space="preserve">. </w:t>
      </w:r>
      <w:r>
        <w:rPr>
          <w:rFonts w:ascii="宋体" w:hAnsi="宋体" w:cs="宋体"/>
          <w:b/>
          <w:sz w:val="28"/>
          <w:szCs w:val="28"/>
        </w:rPr>
        <w:t xml:space="preserve"> </w:t>
      </w:r>
      <w:r>
        <w:rPr>
          <w:rFonts w:hint="eastAsia" w:ascii="宋体" w:hAnsi="宋体" w:cs="宋体"/>
          <w:b/>
          <w:sz w:val="28"/>
          <w:szCs w:val="28"/>
        </w:rPr>
        <w:t>数据中心创新产品/解决方案（研发、生产方 ）；</w:t>
      </w:r>
    </w:p>
    <w:p w14:paraId="34A402EB">
      <w:pPr>
        <w:spacing w:line="600" w:lineRule="exact"/>
        <w:ind w:firstLine="420" w:firstLineChars="200"/>
        <w:rPr>
          <w:rFonts w:hint="eastAsia" w:ascii="宋体" w:hAnsi="宋体" w:cs="宋体"/>
          <w:szCs w:val="21"/>
        </w:rPr>
      </w:pPr>
      <w:r>
        <w:rPr>
          <w:rFonts w:hint="eastAsia" w:ascii="宋体" w:hAnsi="宋体" w:cs="宋体"/>
          <w:szCs w:val="21"/>
        </w:rPr>
        <w:t>所需材料：设计方案图纸、模型及其实际应用效果</w:t>
      </w:r>
    </w:p>
    <w:p w14:paraId="36491E57">
      <w:pPr>
        <w:numPr>
          <w:ilvl w:val="0"/>
          <w:numId w:val="1"/>
        </w:numPr>
        <w:spacing w:line="600" w:lineRule="exact"/>
        <w:rPr>
          <w:rFonts w:ascii="宋体" w:hAnsi="宋体" w:cs="宋体"/>
          <w:b/>
          <w:sz w:val="28"/>
          <w:szCs w:val="28"/>
        </w:rPr>
      </w:pPr>
      <w:r>
        <w:rPr>
          <w:rFonts w:hint="eastAsia" w:ascii="宋体" w:hAnsi="宋体" w:cs="宋体"/>
          <w:b/>
          <w:sz w:val="28"/>
          <w:szCs w:val="28"/>
          <w:lang w:val="en-US" w:eastAsia="zh-CN"/>
        </w:rPr>
        <w:t xml:space="preserve"> </w:t>
      </w:r>
      <w:r>
        <w:rPr>
          <w:rFonts w:hint="eastAsia" w:ascii="宋体" w:hAnsi="宋体" w:cs="宋体"/>
          <w:b/>
          <w:sz w:val="28"/>
          <w:szCs w:val="28"/>
        </w:rPr>
        <w:t>数据中心节能产品</w:t>
      </w:r>
      <w:r>
        <w:rPr>
          <w:rFonts w:hint="eastAsia" w:ascii="宋体" w:hAnsi="宋体" w:cs="宋体"/>
          <w:b/>
          <w:sz w:val="28"/>
          <w:szCs w:val="28"/>
          <w:lang w:val="en-US" w:eastAsia="zh-CN"/>
        </w:rPr>
        <w:t>/解决方案</w:t>
      </w:r>
      <w:r>
        <w:rPr>
          <w:rFonts w:hint="eastAsia" w:ascii="宋体" w:hAnsi="宋体" w:cs="宋体"/>
          <w:b/>
          <w:sz w:val="28"/>
          <w:szCs w:val="28"/>
        </w:rPr>
        <w:t>（研发、生产方均可）；</w:t>
      </w:r>
    </w:p>
    <w:p w14:paraId="5C9F787C">
      <w:pPr>
        <w:spacing w:line="600" w:lineRule="exact"/>
        <w:rPr>
          <w:rFonts w:hint="default" w:ascii="宋体" w:hAnsi="宋体" w:cs="宋体"/>
          <w:b/>
          <w:sz w:val="28"/>
          <w:szCs w:val="28"/>
          <w:lang w:val="en-US" w:eastAsia="zh-CN"/>
        </w:rPr>
      </w:pPr>
      <w:r>
        <w:rPr>
          <w:rFonts w:hint="eastAsia" w:ascii="宋体" w:hAnsi="宋体" w:cs="宋体"/>
          <w:b/>
          <w:sz w:val="28"/>
          <w:szCs w:val="28"/>
          <w:lang w:val="en-US" w:eastAsia="zh-CN"/>
        </w:rPr>
        <w:t xml:space="preserve">   </w:t>
      </w:r>
      <w:r>
        <w:rPr>
          <w:rFonts w:hint="eastAsia" w:ascii="宋体" w:hAnsi="宋体" w:cs="宋体"/>
          <w:szCs w:val="21"/>
        </w:rPr>
        <w:t>所需材料</w:t>
      </w:r>
      <w:r>
        <w:rPr>
          <w:rFonts w:hint="eastAsia" w:ascii="宋体" w:hAnsi="宋体" w:cs="宋体"/>
          <w:szCs w:val="21"/>
          <w:lang w:eastAsia="zh-CN"/>
        </w:rPr>
        <w:t>：</w:t>
      </w:r>
      <w:r>
        <w:rPr>
          <w:rFonts w:hint="eastAsia" w:ascii="宋体" w:hAnsi="宋体" w:cs="宋体"/>
          <w:szCs w:val="21"/>
        </w:rPr>
        <w:t>设计方案图纸、模型及其实际节能效果对比</w:t>
      </w:r>
    </w:p>
    <w:p w14:paraId="7EAB9546">
      <w:pPr>
        <w:spacing w:line="600" w:lineRule="exact"/>
        <w:rPr>
          <w:rFonts w:ascii="宋体" w:hAnsi="宋体" w:cs="宋体"/>
          <w:b/>
          <w:sz w:val="28"/>
          <w:szCs w:val="28"/>
        </w:rPr>
      </w:pPr>
      <w:r>
        <w:rPr>
          <w:rFonts w:hint="eastAsia" w:ascii="宋体" w:hAnsi="宋体" w:cs="宋体"/>
          <w:b/>
          <w:sz w:val="28"/>
          <w:szCs w:val="28"/>
          <w:lang w:val="en-US" w:eastAsia="zh-CN"/>
        </w:rPr>
        <w:t>7.</w:t>
      </w:r>
      <w:r>
        <w:rPr>
          <w:rFonts w:hint="eastAsia" w:ascii="宋体" w:hAnsi="宋体" w:cs="宋体"/>
          <w:b/>
          <w:sz w:val="28"/>
          <w:szCs w:val="28"/>
        </w:rPr>
        <w:t xml:space="preserve">  数据中心用户满意产品/解决方案（研发、生产方均可）；</w:t>
      </w:r>
    </w:p>
    <w:p w14:paraId="5E6AD133">
      <w:pPr>
        <w:spacing w:line="600" w:lineRule="exact"/>
        <w:ind w:firstLine="420" w:firstLineChars="200"/>
        <w:rPr>
          <w:rFonts w:hint="eastAsia" w:ascii="宋体" w:hAnsi="宋体" w:cs="宋体"/>
          <w:szCs w:val="21"/>
        </w:rPr>
      </w:pPr>
      <w:r>
        <w:rPr>
          <w:rFonts w:hint="eastAsia" w:ascii="宋体" w:hAnsi="宋体" w:cs="宋体"/>
          <w:szCs w:val="21"/>
        </w:rPr>
        <w:t>所需材料：设计方案图纸、模型及其用户评价</w:t>
      </w:r>
    </w:p>
    <w:p w14:paraId="5D271939">
      <w:pPr>
        <w:spacing w:line="600" w:lineRule="exact"/>
        <w:rPr>
          <w:rFonts w:hint="default" w:ascii="宋体" w:hAnsi="宋体" w:eastAsia="宋体" w:cs="宋体"/>
          <w:szCs w:val="21"/>
          <w:lang w:val="en-US" w:eastAsia="zh-CN"/>
        </w:rPr>
      </w:pPr>
    </w:p>
    <w:p w14:paraId="7B04C59F">
      <w:pPr>
        <w:pStyle w:val="5"/>
      </w:pPr>
      <w:r>
        <w:rPr>
          <w:rFonts w:ascii="宋体" w:hAnsi="宋体" w:cs="宋体"/>
          <w:b w:val="0"/>
          <w:sz w:val="28"/>
          <w:szCs w:val="28"/>
        </w:rPr>
        <w:br w:type="page"/>
      </w:r>
      <w:bookmarkStart w:id="8" w:name="_Toc437356062"/>
      <w:r>
        <w:rPr>
          <w:rFonts w:hint="eastAsia"/>
        </w:rPr>
        <w:t>三、申报条件</w:t>
      </w:r>
      <w:bookmarkEnd w:id="8"/>
    </w:p>
    <w:p w14:paraId="1FC86F43">
      <w:pPr>
        <w:rPr>
          <w:rFonts w:ascii="宋体" w:hAnsi="宋体" w:cs="宋体"/>
          <w:sz w:val="24"/>
          <w:szCs w:val="24"/>
        </w:rPr>
      </w:pPr>
      <w:r>
        <w:t xml:space="preserve"> </w:t>
      </w:r>
      <w:r>
        <w:rPr>
          <w:szCs w:val="21"/>
        </w:rPr>
        <w:t xml:space="preserve"> </w:t>
      </w:r>
      <w:r>
        <w:t xml:space="preserve">  </w:t>
      </w:r>
      <w:r>
        <w:rPr>
          <w:rFonts w:ascii="宋体" w:hAnsi="宋体" w:cs="宋体"/>
          <w:sz w:val="24"/>
          <w:szCs w:val="24"/>
        </w:rPr>
        <w:t xml:space="preserve"> 202</w:t>
      </w:r>
      <w:r>
        <w:rPr>
          <w:rFonts w:hint="eastAsia" w:ascii="宋体" w:hAnsi="宋体" w:cs="宋体"/>
          <w:sz w:val="24"/>
          <w:szCs w:val="24"/>
          <w:lang w:val="en-US" w:eastAsia="zh-CN"/>
        </w:rPr>
        <w:t>5</w:t>
      </w:r>
      <w:r>
        <w:rPr>
          <w:rFonts w:hint="eastAsia" w:ascii="宋体" w:hAnsi="宋体" w:cs="宋体"/>
          <w:sz w:val="24"/>
          <w:szCs w:val="24"/>
        </w:rPr>
        <w:t>年1月1日～12月31日在数据中心规划、设计、建设、运维和管理领域取得较大成绩的企业、单位、项目、产品、解决方案均可，须同意向评审委员会提交数据、并接受评审专家测试、审核。</w:t>
      </w:r>
    </w:p>
    <w:p w14:paraId="09A7ADB2">
      <w:pPr>
        <w:pStyle w:val="5"/>
      </w:pPr>
      <w:bookmarkStart w:id="9" w:name="_Toc437356063"/>
      <w:r>
        <w:rPr>
          <w:rFonts w:hint="eastAsia"/>
        </w:rPr>
        <w:t>四、申报标准</w:t>
      </w:r>
      <w:bookmarkEnd w:id="9"/>
    </w:p>
    <w:p w14:paraId="679A1239">
      <w:pPr>
        <w:numPr>
          <w:ilvl w:val="0"/>
          <w:numId w:val="2"/>
        </w:numPr>
        <w:tabs>
          <w:tab w:val="left" w:pos="720"/>
        </w:tabs>
        <w:spacing w:line="360" w:lineRule="auto"/>
        <w:ind w:left="540" w:hanging="180"/>
        <w:rPr>
          <w:rFonts w:ascii="Times New Roman" w:hAnsi="Times New Roman"/>
          <w:sz w:val="24"/>
          <w:szCs w:val="24"/>
        </w:rPr>
      </w:pPr>
      <w:r>
        <w:rPr>
          <w:rFonts w:hint="eastAsia" w:ascii="宋体" w:hAnsi="宋体" w:cs="宋体"/>
          <w:sz w:val="24"/>
          <w:szCs w:val="24"/>
        </w:rPr>
        <w:t>达标 创新 节能 高效</w:t>
      </w:r>
      <w:r>
        <w:rPr>
          <w:rFonts w:ascii="宋体" w:hAnsi="宋体" w:cs="宋体"/>
          <w:sz w:val="24"/>
          <w:szCs w:val="24"/>
        </w:rPr>
        <w:t xml:space="preserve"> </w:t>
      </w:r>
    </w:p>
    <w:p w14:paraId="18FFDBDB">
      <w:pPr>
        <w:tabs>
          <w:tab w:val="left" w:pos="2085"/>
        </w:tabs>
        <w:spacing w:line="360" w:lineRule="auto"/>
        <w:ind w:firstLine="465"/>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本年</w:t>
      </w:r>
      <w:r>
        <w:rPr>
          <w:rFonts w:hint="eastAsia" w:ascii="宋体" w:hAnsi="宋体" w:cs="宋体"/>
          <w:sz w:val="24"/>
          <w:szCs w:val="24"/>
        </w:rPr>
        <w:t>年数据中心领域符合国家及国际标准、节约能源、降低能耗、节约建设及运行管理成本的设计方案、建设项目，提高管理效率、节约运营成本的优秀产品和解决方案或者团队，具有一定行业代表性和社会影响力，对数据中心建设管理水平的提高有积极的推动作用。</w:t>
      </w:r>
      <w:r>
        <w:rPr>
          <w:rFonts w:ascii="Times New Roman" w:hAnsi="Times New Roman"/>
          <w:sz w:val="24"/>
          <w:szCs w:val="24"/>
        </w:rPr>
        <w:t xml:space="preserve"> </w:t>
      </w:r>
    </w:p>
    <w:p w14:paraId="5D561F92">
      <w:pPr>
        <w:pStyle w:val="5"/>
      </w:pPr>
      <w:bookmarkStart w:id="10" w:name="_Toc437356064"/>
      <w:r>
        <w:rPr>
          <w:rFonts w:hint="eastAsia"/>
        </w:rPr>
        <w:t>五、评选规则</w:t>
      </w:r>
      <w:bookmarkEnd w:id="10"/>
    </w:p>
    <w:p w14:paraId="0CA89FEB">
      <w:pPr>
        <w:spacing w:line="600" w:lineRule="exact"/>
        <w:outlineLvl w:val="1"/>
        <w:rPr>
          <w:rFonts w:ascii="宋体" w:hAnsi="宋体" w:cs="宋体"/>
          <w:sz w:val="28"/>
          <w:szCs w:val="28"/>
        </w:rPr>
      </w:pPr>
      <w:r>
        <w:rPr>
          <w:rFonts w:ascii="宋体" w:hAnsi="宋体" w:cs="宋体"/>
          <w:b/>
          <w:sz w:val="28"/>
          <w:szCs w:val="28"/>
          <w:highlight w:val="yellow"/>
        </w:rPr>
        <w:t>1</w:t>
      </w:r>
      <w:r>
        <w:rPr>
          <w:rFonts w:hint="eastAsia" w:ascii="宋体" w:hAnsi="宋体" w:cs="宋体"/>
          <w:b/>
          <w:sz w:val="28"/>
          <w:szCs w:val="28"/>
          <w:highlight w:val="yellow"/>
        </w:rPr>
        <w:t xml:space="preserve">. </w:t>
      </w:r>
      <w:r>
        <w:rPr>
          <w:rFonts w:ascii="宋体" w:hAnsi="宋体"/>
          <w:b/>
          <w:sz w:val="28"/>
          <w:szCs w:val="28"/>
          <w:highlight w:val="yellow"/>
        </w:rPr>
        <w:t xml:space="preserve"> </w:t>
      </w:r>
      <w:r>
        <w:rPr>
          <w:rFonts w:hint="eastAsia" w:ascii="宋体" w:hAnsi="宋体" w:cs="宋体"/>
          <w:b/>
          <w:sz w:val="28"/>
          <w:szCs w:val="28"/>
          <w:highlight w:val="yellow"/>
        </w:rPr>
        <w:t>数据中心设计样板项目</w:t>
      </w:r>
      <w:r>
        <w:rPr>
          <w:rFonts w:hint="eastAsia" w:ascii="宋体" w:hAnsi="宋体" w:cs="宋体"/>
          <w:sz w:val="28"/>
          <w:szCs w:val="28"/>
          <w:highlight w:val="yellow"/>
        </w:rPr>
        <w:t>（设计单位和业主方）；</w:t>
      </w:r>
    </w:p>
    <w:p w14:paraId="22C16356">
      <w:pPr>
        <w:spacing w:before="156" w:beforeLines="50"/>
        <w:ind w:firstLine="465"/>
        <w:rPr>
          <w:szCs w:val="21"/>
        </w:rPr>
      </w:pPr>
      <w:r>
        <w:rPr>
          <w:rFonts w:hint="eastAsia"/>
          <w:szCs w:val="21"/>
        </w:rPr>
        <w:t>①范围：针对金融行业、政府 行业、互联网行业、运营商行业、外包数据中心、云服务、科教行业、交通行业、企业数据中心的设计方案设置的奖项，申报单位可以为用户，亦可为设计单位。</w:t>
      </w:r>
    </w:p>
    <w:p w14:paraId="6294DF5B">
      <w:pPr>
        <w:spacing w:line="600" w:lineRule="exact"/>
        <w:ind w:firstLine="411" w:firstLineChars="196"/>
        <w:rPr>
          <w:rFonts w:ascii="宋体" w:hAnsi="宋体" w:cs="宋体"/>
          <w:szCs w:val="21"/>
        </w:rPr>
      </w:pPr>
      <w:r>
        <w:rPr>
          <w:rFonts w:hint="eastAsia" w:ascii="宋体" w:hAnsi="宋体" w:cs="宋体"/>
          <w:szCs w:val="21"/>
        </w:rPr>
        <w:t>②所需材料：设计图纸，设计方案说明。</w:t>
      </w:r>
    </w:p>
    <w:p w14:paraId="6F55B4B3">
      <w:pPr>
        <w:spacing w:line="600" w:lineRule="exact"/>
        <w:ind w:firstLine="411" w:firstLineChars="196"/>
        <w:rPr>
          <w:rFonts w:ascii="宋体" w:hAnsi="宋体" w:cs="宋体"/>
          <w:szCs w:val="21"/>
        </w:rPr>
      </w:pPr>
      <w:r>
        <w:rPr>
          <w:rFonts w:hint="eastAsia" w:ascii="宋体" w:hAnsi="宋体" w:cs="宋体"/>
          <w:szCs w:val="21"/>
        </w:rPr>
        <w:t>③评选维度：</w:t>
      </w:r>
    </w:p>
    <w:p w14:paraId="3FD0A889">
      <w:pPr>
        <w:spacing w:before="156" w:beforeLines="50"/>
        <w:rPr>
          <w:b/>
        </w:rPr>
      </w:pPr>
      <w:r>
        <w:rPr>
          <w:rFonts w:hint="eastAsia"/>
          <w:b/>
        </w:rPr>
        <w:t>第一维度：先进性</w:t>
      </w:r>
    </w:p>
    <w:p w14:paraId="54152908">
      <w:pPr>
        <w:rPr>
          <w:szCs w:val="21"/>
        </w:rPr>
      </w:pPr>
      <w:r>
        <w:rPr>
          <w:rFonts w:hint="eastAsia"/>
          <w:szCs w:val="21"/>
        </w:rPr>
        <w:t>规划设计技术先进，符合未来数据中心的发展趋势及扩展需求。</w:t>
      </w:r>
    </w:p>
    <w:p w14:paraId="4C3EA3F8">
      <w:pPr>
        <w:spacing w:before="156" w:beforeLines="50"/>
        <w:rPr>
          <w:b/>
        </w:rPr>
      </w:pPr>
      <w:r>
        <w:rPr>
          <w:rFonts w:hint="eastAsia"/>
          <w:b/>
        </w:rPr>
        <w:t>第二维度：经济性</w:t>
      </w:r>
    </w:p>
    <w:p w14:paraId="40079AC2">
      <w:pPr>
        <w:spacing w:before="156" w:beforeLines="50"/>
      </w:pPr>
      <w:r>
        <w:rPr>
          <w:rFonts w:hint="eastAsia"/>
        </w:rPr>
        <w:t>保证设计的先进性、可靠、可用性，将经济成本、时间成本缩小到极致。</w:t>
      </w:r>
    </w:p>
    <w:p w14:paraId="4EC00411">
      <w:pPr>
        <w:spacing w:before="156" w:beforeLines="50"/>
        <w:rPr>
          <w:b/>
        </w:rPr>
      </w:pPr>
      <w:r>
        <w:rPr>
          <w:rFonts w:hint="eastAsia"/>
          <w:b/>
        </w:rPr>
        <w:t>第三维度：可靠性</w:t>
      </w:r>
    </w:p>
    <w:p w14:paraId="549F7D81">
      <w:pPr>
        <w:spacing w:before="156" w:beforeLines="50"/>
      </w:pPr>
      <w:r>
        <w:rPr>
          <w:rFonts w:hint="eastAsia"/>
        </w:rPr>
        <w:t>保证高度可靠性，高冗余，并在安全性表现突出。</w:t>
      </w:r>
    </w:p>
    <w:p w14:paraId="694484D2">
      <w:pPr>
        <w:spacing w:before="156" w:beforeLines="50"/>
        <w:rPr>
          <w:b/>
        </w:rPr>
      </w:pPr>
      <w:r>
        <w:rPr>
          <w:rFonts w:hint="eastAsia"/>
          <w:b/>
        </w:rPr>
        <w:t>第四维度：可用性</w:t>
      </w:r>
    </w:p>
    <w:p w14:paraId="4083E10A">
      <w:pPr>
        <w:spacing w:before="156" w:beforeLines="50"/>
      </w:pPr>
      <w:r>
        <w:rPr>
          <w:rFonts w:hint="eastAsia"/>
        </w:rPr>
        <w:t>符合国际国内及其自身的标准，保证其可靠、可用性的同时，易于实施，便于运行维护。</w:t>
      </w:r>
    </w:p>
    <w:p w14:paraId="5F7119A8">
      <w:pPr>
        <w:spacing w:line="600" w:lineRule="exact"/>
        <w:outlineLvl w:val="1"/>
        <w:rPr>
          <w:rFonts w:ascii="宋体" w:hAnsi="宋体" w:cs="宋体"/>
          <w:sz w:val="28"/>
          <w:szCs w:val="28"/>
        </w:rPr>
      </w:pPr>
      <w:r>
        <w:rPr>
          <w:rFonts w:ascii="宋体" w:hAnsi="宋体" w:cs="宋体"/>
          <w:b/>
          <w:sz w:val="28"/>
          <w:szCs w:val="28"/>
          <w:highlight w:val="yellow"/>
        </w:rPr>
        <w:t>2</w:t>
      </w:r>
      <w:r>
        <w:rPr>
          <w:rFonts w:hint="eastAsia" w:ascii="宋体" w:hAnsi="宋体" w:cs="宋体"/>
          <w:b/>
          <w:sz w:val="28"/>
          <w:szCs w:val="28"/>
          <w:highlight w:val="yellow"/>
        </w:rPr>
        <w:t xml:space="preserve">. </w:t>
      </w:r>
      <w:r>
        <w:rPr>
          <w:rFonts w:ascii="宋体" w:hAnsi="宋体"/>
          <w:b/>
          <w:sz w:val="28"/>
          <w:szCs w:val="28"/>
          <w:highlight w:val="yellow"/>
        </w:rPr>
        <w:t xml:space="preserve"> </w:t>
      </w:r>
      <w:r>
        <w:rPr>
          <w:rFonts w:hint="eastAsia" w:ascii="宋体" w:hAnsi="宋体" w:cs="宋体"/>
          <w:b/>
          <w:sz w:val="28"/>
          <w:szCs w:val="28"/>
          <w:highlight w:val="yellow"/>
        </w:rPr>
        <w:t>数据中心实施样板项目</w:t>
      </w:r>
      <w:r>
        <w:rPr>
          <w:rFonts w:hint="eastAsia" w:ascii="宋体" w:hAnsi="宋体" w:cs="宋体"/>
          <w:sz w:val="28"/>
          <w:szCs w:val="28"/>
          <w:highlight w:val="yellow"/>
        </w:rPr>
        <w:t>（施工单位和业主方）；</w:t>
      </w:r>
    </w:p>
    <w:p w14:paraId="55BDC6B6">
      <w:pPr>
        <w:spacing w:before="156" w:beforeLines="50"/>
        <w:ind w:firstLine="465"/>
        <w:rPr>
          <w:szCs w:val="21"/>
        </w:rPr>
      </w:pPr>
      <w:r>
        <w:rPr>
          <w:rFonts w:hint="eastAsia"/>
          <w:szCs w:val="21"/>
        </w:rPr>
        <w:t>①范围：针对金融行业、政府行业、互联网行业、运营商行业、外包数据中心、云服务、科教行业、交通行业、企业数据中心的设计方案设置的奖项，申报单位可以为用户，亦可为实施单位。</w:t>
      </w:r>
    </w:p>
    <w:p w14:paraId="1C1BD526">
      <w:pPr>
        <w:spacing w:line="600" w:lineRule="exact"/>
        <w:ind w:firstLine="411" w:firstLineChars="196"/>
        <w:rPr>
          <w:rFonts w:ascii="宋体" w:hAnsi="宋体" w:cs="宋体"/>
          <w:szCs w:val="21"/>
        </w:rPr>
      </w:pPr>
      <w:r>
        <w:rPr>
          <w:rFonts w:hint="eastAsia" w:ascii="宋体" w:hAnsi="宋体" w:cs="宋体"/>
          <w:szCs w:val="21"/>
        </w:rPr>
        <w:t>②所需材料：设计实施方案说明、项目进度计划、监理文件及竣工报告、第三方检测报告。</w:t>
      </w:r>
    </w:p>
    <w:p w14:paraId="552D404A">
      <w:pPr>
        <w:spacing w:line="600" w:lineRule="exact"/>
        <w:ind w:firstLine="411" w:firstLineChars="196"/>
        <w:rPr>
          <w:rFonts w:ascii="宋体" w:hAnsi="宋体" w:cs="宋体"/>
          <w:szCs w:val="21"/>
        </w:rPr>
      </w:pPr>
      <w:r>
        <w:rPr>
          <w:rFonts w:hint="eastAsia" w:ascii="宋体" w:hAnsi="宋体" w:cs="宋体"/>
          <w:szCs w:val="21"/>
        </w:rPr>
        <w:t>③评选维度：</w:t>
      </w:r>
    </w:p>
    <w:p w14:paraId="32EA2E16">
      <w:pPr>
        <w:spacing w:before="156" w:beforeLines="50"/>
        <w:rPr>
          <w:b/>
        </w:rPr>
      </w:pPr>
      <w:r>
        <w:rPr>
          <w:rFonts w:hint="eastAsia"/>
          <w:b/>
        </w:rPr>
        <w:t>第一维度：施工质量</w:t>
      </w:r>
    </w:p>
    <w:p w14:paraId="41985C2C">
      <w:pPr>
        <w:rPr>
          <w:szCs w:val="21"/>
        </w:rPr>
      </w:pPr>
      <w:r>
        <w:rPr>
          <w:rFonts w:hint="eastAsia"/>
          <w:szCs w:val="21"/>
        </w:rPr>
        <w:t>保质保量完成项目顺利实施。</w:t>
      </w:r>
    </w:p>
    <w:p w14:paraId="21376D95">
      <w:pPr>
        <w:spacing w:before="156" w:beforeLines="50"/>
        <w:rPr>
          <w:b/>
        </w:rPr>
      </w:pPr>
      <w:r>
        <w:rPr>
          <w:rFonts w:hint="eastAsia"/>
          <w:b/>
        </w:rPr>
        <w:t>第二维度：施工工艺方法</w:t>
      </w:r>
    </w:p>
    <w:p w14:paraId="76D153C8">
      <w:pPr>
        <w:spacing w:before="156" w:beforeLines="50"/>
      </w:pPr>
      <w:r>
        <w:rPr>
          <w:rFonts w:hint="eastAsia"/>
        </w:rPr>
        <w:t>保证项目的可靠、可用性，采用较为先进的工艺方法。</w:t>
      </w:r>
    </w:p>
    <w:p w14:paraId="2FEA438D">
      <w:pPr>
        <w:spacing w:before="156" w:beforeLines="50"/>
        <w:rPr>
          <w:b/>
        </w:rPr>
      </w:pPr>
      <w:r>
        <w:rPr>
          <w:rFonts w:hint="eastAsia"/>
          <w:b/>
        </w:rPr>
        <w:t>第三维度：工期及时性</w:t>
      </w:r>
    </w:p>
    <w:p w14:paraId="02C2A5EE">
      <w:pPr>
        <w:spacing w:before="156" w:beforeLines="50"/>
      </w:pPr>
      <w:r>
        <w:rPr>
          <w:rFonts w:hint="eastAsia"/>
        </w:rPr>
        <w:t>在施工工期内按时完成并交付。</w:t>
      </w:r>
    </w:p>
    <w:p w14:paraId="260AF3C3">
      <w:pPr>
        <w:spacing w:before="156" w:beforeLines="50"/>
        <w:rPr>
          <w:b/>
        </w:rPr>
      </w:pPr>
      <w:r>
        <w:rPr>
          <w:rFonts w:hint="eastAsia"/>
          <w:b/>
        </w:rPr>
        <w:t>第四维度：竣工资料完整性</w:t>
      </w:r>
    </w:p>
    <w:p w14:paraId="637D6791">
      <w:pPr>
        <w:spacing w:before="156" w:beforeLines="50"/>
        <w:rPr>
          <w:szCs w:val="21"/>
        </w:rPr>
      </w:pPr>
      <w:r>
        <w:rPr>
          <w:rFonts w:hint="eastAsia" w:ascii="宋体" w:hAnsi="宋体" w:cs="宋体"/>
          <w:szCs w:val="21"/>
        </w:rPr>
        <w:t>设计实施方案说明、项目进度计划、监理文件及竣工报告等资料的完整</w:t>
      </w:r>
      <w:r>
        <w:rPr>
          <w:rFonts w:hint="eastAsia"/>
          <w:szCs w:val="21"/>
        </w:rPr>
        <w:t>。</w:t>
      </w:r>
    </w:p>
    <w:p w14:paraId="23D32812">
      <w:pPr>
        <w:spacing w:before="156" w:beforeLines="50"/>
        <w:rPr>
          <w:b/>
        </w:rPr>
      </w:pPr>
      <w:r>
        <w:rPr>
          <w:rFonts w:hint="eastAsia"/>
          <w:b/>
        </w:rPr>
        <w:t>第五维度：检测验收报告</w:t>
      </w:r>
    </w:p>
    <w:p w14:paraId="5EF6D904">
      <w:pPr>
        <w:spacing w:before="156" w:beforeLines="50"/>
      </w:pPr>
      <w:r>
        <w:rPr>
          <w:rFonts w:hint="eastAsia"/>
        </w:rPr>
        <w:t>通过专业的第三方检测机构出具的相关验收报告。</w:t>
      </w:r>
    </w:p>
    <w:p w14:paraId="5761B4D0">
      <w:pPr>
        <w:spacing w:line="600" w:lineRule="exact"/>
        <w:outlineLvl w:val="1"/>
        <w:rPr>
          <w:rFonts w:ascii="宋体" w:hAnsi="宋体" w:cs="宋体"/>
          <w:b/>
          <w:sz w:val="28"/>
          <w:szCs w:val="24"/>
        </w:rPr>
      </w:pPr>
      <w:r>
        <w:rPr>
          <w:rFonts w:ascii="宋体" w:hAnsi="宋体" w:cs="宋体"/>
          <w:b/>
          <w:sz w:val="28"/>
          <w:szCs w:val="24"/>
          <w:highlight w:val="yellow"/>
        </w:rPr>
        <w:t>3</w:t>
      </w:r>
      <w:r>
        <w:rPr>
          <w:rFonts w:hint="eastAsia" w:ascii="宋体" w:hAnsi="宋体" w:cs="宋体"/>
          <w:b/>
          <w:sz w:val="28"/>
          <w:szCs w:val="24"/>
          <w:highlight w:val="yellow"/>
        </w:rPr>
        <w:t>.</w:t>
      </w:r>
      <w:r>
        <w:rPr>
          <w:rFonts w:ascii="宋体" w:hAnsi="宋体" w:cs="宋体"/>
          <w:b/>
          <w:sz w:val="28"/>
          <w:szCs w:val="24"/>
          <w:highlight w:val="yellow"/>
        </w:rPr>
        <w:t xml:space="preserve"> </w:t>
      </w:r>
      <w:r>
        <w:rPr>
          <w:rFonts w:hint="eastAsia" w:ascii="宋体" w:hAnsi="宋体" w:cs="宋体"/>
          <w:b/>
          <w:sz w:val="28"/>
          <w:szCs w:val="24"/>
          <w:highlight w:val="yellow"/>
        </w:rPr>
        <w:t xml:space="preserve"> 数据中心运维样板项目</w:t>
      </w:r>
      <w:r>
        <w:rPr>
          <w:rFonts w:hint="eastAsia" w:ascii="宋体" w:hAnsi="宋体" w:cs="宋体"/>
          <w:sz w:val="28"/>
          <w:szCs w:val="24"/>
          <w:highlight w:val="yellow"/>
        </w:rPr>
        <w:t>（</w:t>
      </w:r>
      <w:r>
        <w:rPr>
          <w:rFonts w:hint="eastAsia" w:ascii="宋体" w:hAnsi="宋体" w:cs="宋体"/>
          <w:sz w:val="28"/>
          <w:szCs w:val="28"/>
          <w:highlight w:val="yellow"/>
        </w:rPr>
        <w:t>业主方和</w:t>
      </w:r>
      <w:r>
        <w:rPr>
          <w:rFonts w:hint="eastAsia" w:ascii="宋体" w:hAnsi="宋体" w:cs="宋体"/>
          <w:sz w:val="28"/>
          <w:szCs w:val="24"/>
          <w:highlight w:val="yellow"/>
        </w:rPr>
        <w:t>服务方）；</w:t>
      </w:r>
    </w:p>
    <w:p w14:paraId="0D8ACF1D">
      <w:pPr>
        <w:spacing w:before="156" w:beforeLines="50"/>
        <w:ind w:firstLine="465"/>
        <w:rPr>
          <w:szCs w:val="21"/>
        </w:rPr>
      </w:pPr>
      <w:r>
        <w:rPr>
          <w:rFonts w:hint="eastAsia"/>
          <w:szCs w:val="21"/>
        </w:rPr>
        <w:t>①范围：针对服务企事业单位数据中心运维管理人员设置的奖项，申报单位为服务方。</w:t>
      </w:r>
    </w:p>
    <w:p w14:paraId="15F73282">
      <w:pPr>
        <w:spacing w:line="600" w:lineRule="exact"/>
        <w:ind w:firstLine="411" w:firstLineChars="196"/>
        <w:rPr>
          <w:rFonts w:ascii="宋体" w:hAnsi="宋体" w:cs="宋体"/>
          <w:szCs w:val="21"/>
        </w:rPr>
      </w:pPr>
      <w:r>
        <w:rPr>
          <w:rFonts w:hint="eastAsia" w:ascii="宋体" w:hAnsi="宋体" w:cs="宋体"/>
          <w:szCs w:val="21"/>
        </w:rPr>
        <w:t>②所需材料：</w:t>
      </w:r>
      <w:r>
        <w:rPr>
          <w:rFonts w:hint="eastAsia"/>
        </w:rPr>
        <w:t>运维管理制度、人员分工、业主使用感受</w:t>
      </w:r>
    </w:p>
    <w:p w14:paraId="277CBFD0">
      <w:pPr>
        <w:spacing w:line="600" w:lineRule="exact"/>
        <w:ind w:firstLine="411" w:firstLineChars="196"/>
        <w:rPr>
          <w:rFonts w:ascii="宋体" w:hAnsi="宋体" w:cs="宋体"/>
          <w:sz w:val="24"/>
        </w:rPr>
      </w:pPr>
      <w:r>
        <w:rPr>
          <w:rFonts w:hint="eastAsia" w:ascii="宋体" w:hAnsi="宋体" w:cs="宋体"/>
          <w:szCs w:val="21"/>
        </w:rPr>
        <w:t>③评选维度：</w:t>
      </w:r>
    </w:p>
    <w:p w14:paraId="4BAF3A3C">
      <w:pPr>
        <w:spacing w:before="156" w:beforeLines="50"/>
        <w:rPr>
          <w:b/>
        </w:rPr>
      </w:pPr>
      <w:r>
        <w:rPr>
          <w:rFonts w:hint="eastAsia"/>
          <w:b/>
        </w:rPr>
        <w:t>第一维度：管理体系完整性</w:t>
      </w:r>
    </w:p>
    <w:p w14:paraId="3DC71CEB">
      <w:pPr>
        <w:spacing w:before="156" w:beforeLines="50"/>
      </w:pPr>
      <w:r>
        <w:rPr>
          <w:rFonts w:hint="eastAsia"/>
        </w:rPr>
        <w:t>在运维管理阶段针对运行维护及其甲方需求所设置的各种体系规章制度等</w:t>
      </w:r>
    </w:p>
    <w:p w14:paraId="53933C73">
      <w:pPr>
        <w:spacing w:before="156" w:beforeLines="50"/>
        <w:rPr>
          <w:b/>
        </w:rPr>
      </w:pPr>
      <w:r>
        <w:rPr>
          <w:rFonts w:hint="eastAsia"/>
          <w:b/>
        </w:rPr>
        <w:t>第二维度：人员结构体系</w:t>
      </w:r>
    </w:p>
    <w:p w14:paraId="7D4F8B43">
      <w:pPr>
        <w:spacing w:before="156" w:beforeLines="50"/>
      </w:pPr>
      <w:r>
        <w:rPr>
          <w:rFonts w:hint="eastAsia"/>
        </w:rPr>
        <w:t>运维管理人员的分工及其结构设置</w:t>
      </w:r>
    </w:p>
    <w:p w14:paraId="5F2A9194">
      <w:pPr>
        <w:spacing w:before="156" w:beforeLines="50"/>
        <w:rPr>
          <w:b/>
        </w:rPr>
      </w:pPr>
      <w:r>
        <w:rPr>
          <w:rFonts w:hint="eastAsia"/>
          <w:b/>
        </w:rPr>
        <w:t>第三维度：运行效果评价</w:t>
      </w:r>
    </w:p>
    <w:p w14:paraId="3F02E5FE">
      <w:pPr>
        <w:spacing w:before="156" w:beforeLines="50"/>
      </w:pPr>
      <w:r>
        <w:rPr>
          <w:rFonts w:hint="eastAsia"/>
        </w:rPr>
        <w:t>在运维管理阶段的效益体现及业主的使用报告</w:t>
      </w:r>
    </w:p>
    <w:p w14:paraId="61B99CDC">
      <w:pPr>
        <w:spacing w:before="156" w:beforeLines="50"/>
        <w:rPr>
          <w:b/>
        </w:rPr>
      </w:pPr>
      <w:r>
        <w:rPr>
          <w:rFonts w:hint="eastAsia"/>
          <w:b/>
        </w:rPr>
        <w:t>第四维度：运行时间</w:t>
      </w:r>
    </w:p>
    <w:p w14:paraId="330C0355">
      <w:pPr>
        <w:spacing w:line="600" w:lineRule="exact"/>
      </w:pPr>
      <w:r>
        <w:rPr>
          <w:rFonts w:hint="eastAsia"/>
        </w:rPr>
        <w:t>自签署第三方运维合同之日到目前为止的运行时长</w:t>
      </w:r>
    </w:p>
    <w:p w14:paraId="69353B6A">
      <w:pPr>
        <w:spacing w:before="156" w:beforeLines="50"/>
      </w:pPr>
    </w:p>
    <w:p w14:paraId="07C99FCC">
      <w:pPr>
        <w:spacing w:before="156" w:beforeLines="50"/>
      </w:pPr>
      <w:bookmarkStart w:id="13" w:name="_GoBack"/>
      <w:bookmarkEnd w:id="13"/>
    </w:p>
    <w:p w14:paraId="6D32BCEE">
      <w:pPr>
        <w:spacing w:line="600" w:lineRule="exact"/>
        <w:outlineLvl w:val="1"/>
        <w:rPr>
          <w:rFonts w:ascii="宋体" w:hAnsi="宋体" w:cs="宋体"/>
          <w:sz w:val="28"/>
          <w:szCs w:val="28"/>
        </w:rPr>
      </w:pPr>
      <w:r>
        <w:rPr>
          <w:rFonts w:ascii="宋体" w:hAnsi="宋体" w:cs="宋体"/>
          <w:b/>
          <w:sz w:val="28"/>
          <w:szCs w:val="28"/>
          <w:highlight w:val="yellow"/>
        </w:rPr>
        <w:t>4</w:t>
      </w:r>
      <w:r>
        <w:rPr>
          <w:rFonts w:hint="eastAsia" w:ascii="宋体" w:hAnsi="宋体" w:cs="宋体"/>
          <w:b/>
          <w:sz w:val="28"/>
          <w:szCs w:val="28"/>
          <w:highlight w:val="yellow"/>
        </w:rPr>
        <w:t xml:space="preserve">. </w:t>
      </w:r>
      <w:r>
        <w:rPr>
          <w:rFonts w:ascii="宋体" w:hAnsi="宋体"/>
          <w:b/>
          <w:sz w:val="28"/>
          <w:szCs w:val="28"/>
          <w:highlight w:val="yellow"/>
        </w:rPr>
        <w:t xml:space="preserve"> </w:t>
      </w:r>
      <w:r>
        <w:rPr>
          <w:rFonts w:hint="eastAsia" w:ascii="宋体" w:hAnsi="宋体" w:cs="宋体"/>
          <w:b/>
          <w:sz w:val="28"/>
          <w:szCs w:val="28"/>
          <w:highlight w:val="yellow"/>
        </w:rPr>
        <w:t>中国数据中心最佳项目管理团队</w:t>
      </w:r>
      <w:r>
        <w:rPr>
          <w:rFonts w:hint="eastAsia" w:ascii="宋体" w:hAnsi="宋体" w:cs="宋体"/>
          <w:sz w:val="28"/>
          <w:szCs w:val="28"/>
          <w:highlight w:val="yellow"/>
        </w:rPr>
        <w:t>（业主方）；</w:t>
      </w:r>
    </w:p>
    <w:p w14:paraId="3E8A6956">
      <w:pPr>
        <w:spacing w:before="156" w:beforeLines="50"/>
        <w:ind w:firstLine="465"/>
        <w:rPr>
          <w:szCs w:val="21"/>
        </w:rPr>
      </w:pPr>
      <w:r>
        <w:rPr>
          <w:rFonts w:hint="eastAsia"/>
          <w:b/>
        </w:rPr>
        <w:t>①范围：针对金融行业、政府行业、互联网行业、运营商行业、外包数据中心、云服</w:t>
      </w:r>
      <w:r>
        <w:rPr>
          <w:rFonts w:hint="eastAsia"/>
          <w:szCs w:val="21"/>
        </w:rPr>
        <w:t>务、科教行业、交通行业、企业数据中心在建设过程中的管理团队设置的奖项，从设计、实施过程中整个项目管理具有突出特点的团队，申报单位为用户方。</w:t>
      </w:r>
    </w:p>
    <w:p w14:paraId="7ECFD871">
      <w:pPr>
        <w:spacing w:before="156" w:beforeLines="50"/>
      </w:pPr>
      <w:r>
        <w:rPr>
          <w:rFonts w:hint="eastAsia"/>
        </w:rPr>
        <w:t>②所需材料：管理制度、团队结构设置。</w:t>
      </w:r>
    </w:p>
    <w:p w14:paraId="071968E5">
      <w:pPr>
        <w:spacing w:line="600" w:lineRule="exact"/>
        <w:ind w:firstLine="411" w:firstLineChars="196"/>
        <w:rPr>
          <w:rFonts w:ascii="宋体" w:hAnsi="宋体" w:cs="宋体"/>
          <w:szCs w:val="21"/>
        </w:rPr>
      </w:pPr>
      <w:r>
        <w:rPr>
          <w:rFonts w:hint="eastAsia" w:ascii="宋体" w:hAnsi="宋体" w:cs="宋体"/>
          <w:szCs w:val="21"/>
        </w:rPr>
        <w:t>③评选维度：</w:t>
      </w:r>
    </w:p>
    <w:p w14:paraId="6F41C3A6">
      <w:pPr>
        <w:spacing w:before="156" w:beforeLines="50"/>
        <w:rPr>
          <w:b/>
        </w:rPr>
      </w:pPr>
      <w:r>
        <w:rPr>
          <w:rFonts w:hint="eastAsia"/>
          <w:b/>
        </w:rPr>
        <w:t>第一维度：管理体系完整性</w:t>
      </w:r>
    </w:p>
    <w:p w14:paraId="4E1CD792">
      <w:pPr>
        <w:spacing w:before="156" w:beforeLines="50"/>
      </w:pPr>
      <w:r>
        <w:rPr>
          <w:rFonts w:hint="eastAsia"/>
        </w:rPr>
        <w:t>在项目进行中的管理体系结构</w:t>
      </w:r>
    </w:p>
    <w:p w14:paraId="5078CFF0">
      <w:pPr>
        <w:spacing w:before="156" w:beforeLines="50"/>
        <w:rPr>
          <w:b/>
        </w:rPr>
      </w:pPr>
      <w:r>
        <w:rPr>
          <w:rFonts w:hint="eastAsia"/>
          <w:b/>
        </w:rPr>
        <w:t>第二维度：人员能力</w:t>
      </w:r>
    </w:p>
    <w:p w14:paraId="75B2EBD8">
      <w:pPr>
        <w:spacing w:before="156" w:beforeLines="50"/>
      </w:pPr>
      <w:r>
        <w:rPr>
          <w:rFonts w:hint="eastAsia"/>
        </w:rPr>
        <w:t>团队中人员资质及简历</w:t>
      </w:r>
    </w:p>
    <w:p w14:paraId="269F71FB">
      <w:pPr>
        <w:spacing w:before="156" w:beforeLines="50"/>
        <w:rPr>
          <w:b/>
        </w:rPr>
      </w:pPr>
      <w:r>
        <w:rPr>
          <w:rFonts w:hint="eastAsia"/>
          <w:b/>
        </w:rPr>
        <w:t>第三维度：团队配合能力</w:t>
      </w:r>
    </w:p>
    <w:p w14:paraId="68AB5C68">
      <w:pPr>
        <w:spacing w:before="156" w:beforeLines="50"/>
      </w:pPr>
      <w:r>
        <w:rPr>
          <w:rFonts w:hint="eastAsia"/>
        </w:rPr>
        <w:t>项目进行中与各个单位及团队组织的配合程度</w:t>
      </w:r>
    </w:p>
    <w:p w14:paraId="533C7A61">
      <w:pPr>
        <w:spacing w:before="156" w:beforeLines="50"/>
        <w:rPr>
          <w:b/>
        </w:rPr>
      </w:pPr>
      <w:r>
        <w:rPr>
          <w:rFonts w:hint="eastAsia"/>
          <w:b/>
        </w:rPr>
        <w:t>第四维度：项目施工周期</w:t>
      </w:r>
    </w:p>
    <w:p w14:paraId="2DCD3AA5">
      <w:pPr>
        <w:spacing w:before="156" w:beforeLines="50"/>
      </w:pPr>
      <w:r>
        <w:rPr>
          <w:rFonts w:hint="eastAsia"/>
        </w:rPr>
        <w:t>在施工周期内保质保量完成并交付使用</w:t>
      </w:r>
    </w:p>
    <w:p w14:paraId="16DAED7C">
      <w:pPr>
        <w:spacing w:line="600" w:lineRule="exact"/>
        <w:outlineLvl w:val="1"/>
        <w:rPr>
          <w:rFonts w:ascii="宋体" w:hAnsi="宋体" w:cs="宋体"/>
          <w:sz w:val="28"/>
          <w:szCs w:val="28"/>
        </w:rPr>
      </w:pPr>
      <w:r>
        <w:rPr>
          <w:rFonts w:ascii="宋体" w:hAnsi="宋体" w:cs="宋体"/>
          <w:b/>
          <w:sz w:val="28"/>
          <w:szCs w:val="28"/>
          <w:highlight w:val="yellow"/>
        </w:rPr>
        <w:t>5</w:t>
      </w:r>
      <w:r>
        <w:rPr>
          <w:rFonts w:hint="eastAsia" w:ascii="宋体" w:hAnsi="宋体" w:cs="宋体"/>
          <w:b/>
          <w:sz w:val="28"/>
          <w:szCs w:val="28"/>
          <w:highlight w:val="yellow"/>
        </w:rPr>
        <w:t>.</w:t>
      </w:r>
      <w:r>
        <w:rPr>
          <w:rFonts w:ascii="宋体" w:hAnsi="宋体" w:cs="宋体"/>
          <w:b/>
          <w:sz w:val="28"/>
          <w:szCs w:val="28"/>
          <w:highlight w:val="yellow"/>
        </w:rPr>
        <w:t xml:space="preserve">  </w:t>
      </w:r>
      <w:r>
        <w:rPr>
          <w:rFonts w:hint="eastAsia" w:ascii="宋体" w:hAnsi="宋体" w:cs="宋体"/>
          <w:b/>
          <w:sz w:val="28"/>
          <w:szCs w:val="28"/>
          <w:highlight w:val="yellow"/>
        </w:rPr>
        <w:t>数据中心创新产品/解决方案</w:t>
      </w:r>
      <w:r>
        <w:rPr>
          <w:rFonts w:hint="eastAsia" w:ascii="宋体" w:hAnsi="宋体" w:cs="宋体"/>
          <w:sz w:val="28"/>
          <w:szCs w:val="28"/>
          <w:highlight w:val="yellow"/>
        </w:rPr>
        <w:t>（研发、生产方 ）；</w:t>
      </w:r>
    </w:p>
    <w:p w14:paraId="34352211">
      <w:pPr>
        <w:spacing w:before="156" w:beforeLines="50"/>
        <w:ind w:firstLine="465"/>
        <w:rPr>
          <w:szCs w:val="21"/>
        </w:rPr>
      </w:pPr>
      <w:r>
        <w:rPr>
          <w:rFonts w:hint="eastAsia"/>
          <w:szCs w:val="21"/>
        </w:rPr>
        <w:t>①范围：针对数据中心产品或方案的供应商设置的奖项，从空调制冷、供配电、备用电源（包括柴油发电机、UPS）、布线系统、机柜、软件、监控、消防、微模块等类别中甄选出具有创新性的方案或产品，申报单位为研发、设计方。</w:t>
      </w:r>
    </w:p>
    <w:p w14:paraId="55231501">
      <w:pPr>
        <w:spacing w:line="600" w:lineRule="exact"/>
        <w:ind w:firstLine="470" w:firstLineChars="196"/>
        <w:rPr>
          <w:rFonts w:ascii="宋体" w:hAnsi="宋体" w:cs="宋体"/>
          <w:sz w:val="24"/>
        </w:rPr>
      </w:pPr>
      <w:r>
        <w:rPr>
          <w:rFonts w:hint="eastAsia" w:ascii="宋体" w:hAnsi="宋体" w:cs="宋体"/>
          <w:sz w:val="24"/>
        </w:rPr>
        <w:t>②所需材料：</w:t>
      </w:r>
      <w:r>
        <w:rPr>
          <w:rFonts w:hint="eastAsia" w:ascii="宋体" w:hAnsi="宋体" w:cs="宋体"/>
          <w:szCs w:val="21"/>
        </w:rPr>
        <w:t>设计方案图纸、模型及其实际应用效果</w:t>
      </w:r>
      <w:r>
        <w:rPr>
          <w:rFonts w:hint="eastAsia" w:ascii="宋体" w:hAnsi="宋体" w:cs="宋体"/>
          <w:sz w:val="24"/>
        </w:rPr>
        <w:t>。</w:t>
      </w:r>
    </w:p>
    <w:p w14:paraId="7BBA6E00">
      <w:pPr>
        <w:spacing w:line="600" w:lineRule="exact"/>
        <w:ind w:firstLine="470" w:firstLineChars="196"/>
        <w:rPr>
          <w:rFonts w:ascii="宋体" w:hAnsi="宋体" w:cs="宋体"/>
          <w:sz w:val="24"/>
        </w:rPr>
      </w:pPr>
      <w:r>
        <w:rPr>
          <w:rFonts w:hint="eastAsia" w:ascii="宋体" w:hAnsi="宋体" w:cs="宋体"/>
          <w:sz w:val="24"/>
        </w:rPr>
        <w:t>③评选维度：</w:t>
      </w:r>
    </w:p>
    <w:p w14:paraId="6C77B906">
      <w:pPr>
        <w:spacing w:before="156" w:beforeLines="50"/>
        <w:rPr>
          <w:b/>
        </w:rPr>
      </w:pPr>
      <w:r>
        <w:rPr>
          <w:rFonts w:hint="eastAsia"/>
          <w:b/>
        </w:rPr>
        <w:t>第一维度：先进科学性</w:t>
      </w:r>
    </w:p>
    <w:p w14:paraId="08C78422">
      <w:pPr>
        <w:spacing w:before="156" w:beforeLines="50"/>
      </w:pPr>
      <w:r>
        <w:rPr>
          <w:rFonts w:hint="eastAsia"/>
        </w:rPr>
        <w:t>产品或方案在同行内具有较先进的技术并得到使用方的高度认可保证其科学性</w:t>
      </w:r>
    </w:p>
    <w:p w14:paraId="5CBDD301">
      <w:pPr>
        <w:spacing w:before="156" w:beforeLines="50"/>
        <w:rPr>
          <w:b/>
        </w:rPr>
      </w:pPr>
      <w:r>
        <w:rPr>
          <w:rFonts w:hint="eastAsia"/>
          <w:b/>
        </w:rPr>
        <w:t>第二维度：实用性</w:t>
      </w:r>
    </w:p>
    <w:p w14:paraId="147A8D39">
      <w:pPr>
        <w:spacing w:before="156" w:beforeLines="50"/>
      </w:pPr>
      <w:r>
        <w:rPr>
          <w:rFonts w:hint="eastAsia"/>
        </w:rPr>
        <w:t>创新的产品和方案能够较为普遍的使用</w:t>
      </w:r>
    </w:p>
    <w:p w14:paraId="1FD01D2D">
      <w:pPr>
        <w:spacing w:before="156" w:beforeLines="50"/>
        <w:rPr>
          <w:b/>
        </w:rPr>
      </w:pPr>
      <w:r>
        <w:rPr>
          <w:rFonts w:hint="eastAsia"/>
          <w:b/>
        </w:rPr>
        <w:t>第三维度：可靠性</w:t>
      </w:r>
    </w:p>
    <w:p w14:paraId="14F6C510">
      <w:pPr>
        <w:spacing w:before="156" w:beforeLines="50"/>
      </w:pPr>
      <w:r>
        <w:rPr>
          <w:rFonts w:hint="eastAsia"/>
        </w:rPr>
        <w:t>保证高度可靠性，高冗余，并在安全性表现突出</w:t>
      </w:r>
    </w:p>
    <w:p w14:paraId="68ADBBC6">
      <w:pPr>
        <w:spacing w:before="156" w:beforeLines="50"/>
        <w:rPr>
          <w:b/>
        </w:rPr>
      </w:pPr>
      <w:r>
        <w:rPr>
          <w:rFonts w:hint="eastAsia"/>
          <w:b/>
        </w:rPr>
        <w:t>第四维度：经济性</w:t>
      </w:r>
    </w:p>
    <w:p w14:paraId="575517D2">
      <w:pPr>
        <w:spacing w:before="156" w:beforeLines="50"/>
        <w:rPr>
          <w:rFonts w:hint="eastAsia"/>
        </w:rPr>
      </w:pPr>
      <w:r>
        <w:rPr>
          <w:rFonts w:hint="eastAsia"/>
        </w:rPr>
        <w:t>能够保证经济效益的最大化</w:t>
      </w:r>
    </w:p>
    <w:p w14:paraId="5F1ECBB2">
      <w:pPr>
        <w:tabs>
          <w:tab w:val="left" w:pos="7600"/>
        </w:tabs>
        <w:spacing w:line="600" w:lineRule="exact"/>
        <w:outlineLvl w:val="1"/>
        <w:rPr>
          <w:rFonts w:ascii="宋体" w:hAnsi="宋体" w:cs="宋体"/>
          <w:sz w:val="28"/>
          <w:szCs w:val="28"/>
        </w:rPr>
      </w:pPr>
      <w:r>
        <w:rPr>
          <w:rFonts w:hint="eastAsia" w:ascii="宋体" w:hAnsi="宋体" w:cs="宋体"/>
          <w:b/>
          <w:sz w:val="28"/>
          <w:szCs w:val="28"/>
          <w:highlight w:val="yellow"/>
          <w:lang w:val="en-US" w:eastAsia="zh-CN"/>
        </w:rPr>
        <w:t>6.</w:t>
      </w:r>
      <w:r>
        <w:rPr>
          <w:rFonts w:hint="eastAsia" w:ascii="宋体" w:hAnsi="宋体" w:cs="宋体"/>
          <w:b/>
          <w:sz w:val="28"/>
          <w:szCs w:val="28"/>
          <w:highlight w:val="yellow"/>
        </w:rPr>
        <w:t xml:space="preserve">  数据中心节能产品</w:t>
      </w:r>
      <w:r>
        <w:rPr>
          <w:rFonts w:hint="eastAsia" w:ascii="宋体" w:hAnsi="宋体" w:cs="宋体"/>
          <w:b/>
          <w:sz w:val="28"/>
          <w:szCs w:val="28"/>
          <w:highlight w:val="yellow"/>
          <w:lang w:val="en-US" w:eastAsia="zh-CN"/>
        </w:rPr>
        <w:t>/解决方案</w:t>
      </w:r>
      <w:r>
        <w:rPr>
          <w:rFonts w:hint="eastAsia" w:ascii="宋体" w:hAnsi="宋体" w:cs="宋体"/>
          <w:b/>
          <w:sz w:val="28"/>
          <w:szCs w:val="28"/>
          <w:highlight w:val="yellow"/>
        </w:rPr>
        <w:t>（</w:t>
      </w:r>
      <w:r>
        <w:rPr>
          <w:rFonts w:hint="eastAsia" w:ascii="宋体" w:hAnsi="宋体" w:cs="宋体"/>
          <w:b w:val="0"/>
          <w:bCs/>
          <w:sz w:val="28"/>
          <w:szCs w:val="28"/>
          <w:highlight w:val="yellow"/>
        </w:rPr>
        <w:t>研发、生产方均可</w:t>
      </w:r>
      <w:r>
        <w:rPr>
          <w:rFonts w:hint="eastAsia" w:ascii="宋体" w:hAnsi="宋体" w:cs="宋体"/>
          <w:b/>
          <w:sz w:val="28"/>
          <w:szCs w:val="28"/>
          <w:highlight w:val="yellow"/>
        </w:rPr>
        <w:t>）</w:t>
      </w:r>
      <w:r>
        <w:rPr>
          <w:rFonts w:hint="eastAsia" w:ascii="宋体" w:hAnsi="宋体" w:cs="宋体"/>
          <w:sz w:val="28"/>
          <w:szCs w:val="28"/>
          <w:highlight w:val="yellow"/>
        </w:rPr>
        <w:t>；</w:t>
      </w:r>
    </w:p>
    <w:p w14:paraId="0B0214DE">
      <w:pPr>
        <w:spacing w:before="156" w:beforeLines="50"/>
        <w:ind w:firstLine="465"/>
        <w:rPr>
          <w:rFonts w:hint="eastAsia"/>
          <w:szCs w:val="21"/>
        </w:rPr>
      </w:pPr>
      <w:r>
        <w:rPr>
          <w:rFonts w:hint="eastAsia"/>
          <w:szCs w:val="21"/>
        </w:rPr>
        <w:t>①范围：针对数据中心产品或方案的供应商设置的奖项，从空调制冷、供配电、备用电源（包括柴油发电价、UPS）、布线系统、机柜、软件、监控、消防、微模块等类别中甄选出具有节能效果的方案或产品，申报单位为研发、设计方。</w:t>
      </w:r>
    </w:p>
    <w:p w14:paraId="2EACC808">
      <w:pPr>
        <w:spacing w:line="600" w:lineRule="exact"/>
        <w:ind w:firstLine="470" w:firstLineChars="196"/>
        <w:rPr>
          <w:rFonts w:hint="eastAsia" w:ascii="宋体" w:hAnsi="宋体" w:cs="宋体"/>
          <w:sz w:val="24"/>
        </w:rPr>
      </w:pPr>
      <w:r>
        <w:rPr>
          <w:rFonts w:hint="eastAsia" w:ascii="宋体" w:hAnsi="宋体" w:cs="宋体"/>
          <w:sz w:val="24"/>
        </w:rPr>
        <w:t>②所需材料：</w:t>
      </w:r>
      <w:r>
        <w:rPr>
          <w:rFonts w:hint="eastAsia" w:ascii="宋体" w:hAnsi="宋体" w:cs="宋体"/>
          <w:szCs w:val="21"/>
        </w:rPr>
        <w:t>设计方案图纸、模型及其实际节能效果对比</w:t>
      </w:r>
      <w:r>
        <w:rPr>
          <w:rFonts w:hint="eastAsia" w:ascii="宋体" w:hAnsi="宋体" w:cs="宋体"/>
          <w:sz w:val="24"/>
        </w:rPr>
        <w:t>。</w:t>
      </w:r>
    </w:p>
    <w:p w14:paraId="18E8A6DA">
      <w:pPr>
        <w:spacing w:line="600" w:lineRule="exact"/>
        <w:ind w:firstLine="470" w:firstLineChars="196"/>
        <w:rPr>
          <w:rFonts w:hint="eastAsia" w:ascii="宋体" w:hAnsi="宋体" w:cs="宋体"/>
          <w:sz w:val="24"/>
        </w:rPr>
      </w:pPr>
      <w:r>
        <w:rPr>
          <w:rFonts w:hint="eastAsia" w:ascii="宋体" w:hAnsi="宋体" w:cs="宋体"/>
          <w:sz w:val="24"/>
        </w:rPr>
        <w:t>③评选维度：</w:t>
      </w:r>
    </w:p>
    <w:p w14:paraId="1F3F187F">
      <w:pPr>
        <w:spacing w:before="156" w:beforeLines="50"/>
        <w:rPr>
          <w:rFonts w:hint="eastAsia"/>
          <w:b/>
        </w:rPr>
      </w:pPr>
      <w:r>
        <w:rPr>
          <w:rFonts w:hint="eastAsia"/>
          <w:b/>
        </w:rPr>
        <w:t>第一维度：能效性</w:t>
      </w:r>
    </w:p>
    <w:p w14:paraId="6C05A322">
      <w:pPr>
        <w:spacing w:before="156" w:beforeLines="50"/>
        <w:rPr>
          <w:rFonts w:hint="eastAsia"/>
          <w:b/>
        </w:rPr>
      </w:pPr>
      <w:r>
        <w:rPr>
          <w:rFonts w:hint="eastAsia"/>
          <w:b/>
        </w:rPr>
        <w:t>第二维度：实用性</w:t>
      </w:r>
    </w:p>
    <w:p w14:paraId="3B89ABC9">
      <w:pPr>
        <w:spacing w:before="156" w:beforeLines="50"/>
        <w:rPr>
          <w:rFonts w:hint="eastAsia"/>
          <w:b/>
        </w:rPr>
      </w:pPr>
      <w:r>
        <w:rPr>
          <w:rFonts w:hint="eastAsia"/>
          <w:b/>
        </w:rPr>
        <w:t>第三维度：可靠性</w:t>
      </w:r>
    </w:p>
    <w:p w14:paraId="11EA6105">
      <w:pPr>
        <w:spacing w:before="156" w:beforeLines="50"/>
        <w:rPr>
          <w:rFonts w:hint="eastAsia"/>
        </w:rPr>
      </w:pPr>
      <w:r>
        <w:rPr>
          <w:rFonts w:hint="eastAsia"/>
          <w:b/>
        </w:rPr>
        <w:t>第四维度：经济性</w:t>
      </w:r>
    </w:p>
    <w:p w14:paraId="02ED3CEB">
      <w:pPr>
        <w:tabs>
          <w:tab w:val="left" w:pos="7600"/>
        </w:tabs>
        <w:spacing w:line="600" w:lineRule="exact"/>
        <w:outlineLvl w:val="1"/>
        <w:rPr>
          <w:rFonts w:ascii="宋体" w:hAnsi="宋体" w:cs="宋体"/>
          <w:sz w:val="28"/>
          <w:szCs w:val="28"/>
        </w:rPr>
      </w:pPr>
      <w:r>
        <w:rPr>
          <w:rFonts w:hint="eastAsia" w:ascii="宋体" w:hAnsi="宋体" w:cs="宋体"/>
          <w:b/>
          <w:sz w:val="28"/>
          <w:szCs w:val="28"/>
          <w:highlight w:val="yellow"/>
          <w:lang w:val="en-US" w:eastAsia="zh-CN"/>
        </w:rPr>
        <w:t>7</w:t>
      </w:r>
      <w:r>
        <w:rPr>
          <w:rFonts w:hint="eastAsia" w:ascii="宋体" w:hAnsi="宋体" w:cs="宋体"/>
          <w:b/>
          <w:sz w:val="28"/>
          <w:szCs w:val="28"/>
          <w:highlight w:val="yellow"/>
        </w:rPr>
        <w:t>.  数据中心用户满意产品/解决方案</w:t>
      </w:r>
      <w:r>
        <w:rPr>
          <w:rFonts w:hint="eastAsia" w:ascii="宋体" w:hAnsi="宋体" w:cs="宋体"/>
          <w:sz w:val="28"/>
          <w:szCs w:val="28"/>
          <w:highlight w:val="yellow"/>
        </w:rPr>
        <w:t>（研发、生产方均可）；</w:t>
      </w:r>
    </w:p>
    <w:p w14:paraId="26A2DB41">
      <w:pPr>
        <w:spacing w:before="156" w:beforeLines="50"/>
        <w:ind w:firstLine="465"/>
        <w:rPr>
          <w:szCs w:val="21"/>
        </w:rPr>
      </w:pPr>
      <w:r>
        <w:rPr>
          <w:rFonts w:hint="eastAsia"/>
          <w:szCs w:val="21"/>
        </w:rPr>
        <w:t>①范围：针对数据中心产品或方案的供应商设置的奖项，从空调制冷、供配电、备用电源（包括柴油发电价、UPS）、布线系统、机柜、软件、监控、消防、微模块等类别中甄选出用户满意的方案或产品，申报单位为研发、设计方。</w:t>
      </w:r>
    </w:p>
    <w:p w14:paraId="295C5070">
      <w:pPr>
        <w:spacing w:line="600" w:lineRule="exact"/>
        <w:ind w:firstLine="470" w:firstLineChars="196"/>
        <w:rPr>
          <w:rFonts w:ascii="宋体" w:hAnsi="宋体" w:cs="宋体"/>
          <w:sz w:val="24"/>
        </w:rPr>
      </w:pPr>
      <w:r>
        <w:rPr>
          <w:rFonts w:hint="eastAsia" w:ascii="宋体" w:hAnsi="宋体" w:cs="宋体"/>
          <w:sz w:val="24"/>
        </w:rPr>
        <w:t>②所需材料：</w:t>
      </w:r>
      <w:r>
        <w:rPr>
          <w:rFonts w:hint="eastAsia" w:ascii="宋体" w:hAnsi="宋体" w:cs="宋体"/>
          <w:szCs w:val="21"/>
        </w:rPr>
        <w:t>设计方案图纸、模型及其用户评价</w:t>
      </w:r>
      <w:r>
        <w:rPr>
          <w:rFonts w:hint="eastAsia" w:ascii="宋体" w:hAnsi="宋体" w:cs="宋体"/>
          <w:sz w:val="24"/>
        </w:rPr>
        <w:t>。</w:t>
      </w:r>
    </w:p>
    <w:p w14:paraId="566733D6">
      <w:pPr>
        <w:spacing w:line="600" w:lineRule="exact"/>
        <w:ind w:firstLine="470" w:firstLineChars="196"/>
        <w:rPr>
          <w:rFonts w:ascii="宋体" w:hAnsi="宋体" w:cs="宋体"/>
          <w:sz w:val="24"/>
        </w:rPr>
      </w:pPr>
      <w:r>
        <w:rPr>
          <w:rFonts w:hint="eastAsia" w:ascii="宋体" w:hAnsi="宋体" w:cs="宋体"/>
          <w:sz w:val="24"/>
        </w:rPr>
        <w:t>③评选维度：</w:t>
      </w:r>
    </w:p>
    <w:p w14:paraId="6E975530">
      <w:pPr>
        <w:spacing w:before="156" w:beforeLines="50"/>
        <w:rPr>
          <w:b/>
        </w:rPr>
      </w:pPr>
      <w:r>
        <w:rPr>
          <w:rFonts w:hint="eastAsia"/>
          <w:b/>
        </w:rPr>
        <w:t>第一维度：用户评价</w:t>
      </w:r>
    </w:p>
    <w:p w14:paraId="3734CB62">
      <w:pPr>
        <w:spacing w:before="156" w:beforeLines="50"/>
      </w:pPr>
      <w:r>
        <w:rPr>
          <w:rFonts w:hint="eastAsia"/>
        </w:rPr>
        <w:t>典型用户的使用报告</w:t>
      </w:r>
    </w:p>
    <w:p w14:paraId="6E4F9D3C">
      <w:pPr>
        <w:spacing w:before="156" w:beforeLines="50"/>
        <w:rPr>
          <w:b/>
        </w:rPr>
      </w:pPr>
      <w:r>
        <w:rPr>
          <w:rFonts w:hint="eastAsia"/>
          <w:b/>
        </w:rPr>
        <w:t>第二维度：实用性</w:t>
      </w:r>
    </w:p>
    <w:p w14:paraId="33A43735">
      <w:pPr>
        <w:spacing w:before="156" w:beforeLines="50"/>
      </w:pPr>
      <w:r>
        <w:rPr>
          <w:rFonts w:hint="eastAsia"/>
        </w:rPr>
        <w:t>产品和方案能够较为普遍的使用并符合行业发展</w:t>
      </w:r>
    </w:p>
    <w:p w14:paraId="6E913E9C">
      <w:pPr>
        <w:spacing w:before="156" w:beforeLines="50"/>
        <w:rPr>
          <w:b/>
        </w:rPr>
      </w:pPr>
      <w:r>
        <w:rPr>
          <w:rFonts w:hint="eastAsia"/>
          <w:b/>
        </w:rPr>
        <w:t>第三维度：可靠性</w:t>
      </w:r>
    </w:p>
    <w:p w14:paraId="23A3D541">
      <w:pPr>
        <w:spacing w:before="156" w:beforeLines="50"/>
      </w:pPr>
      <w:r>
        <w:rPr>
          <w:rFonts w:hint="eastAsia"/>
        </w:rPr>
        <w:t>保证高度可靠性，高冗余，并在安全性表现突出</w:t>
      </w:r>
    </w:p>
    <w:p w14:paraId="0EAE1A64">
      <w:pPr>
        <w:spacing w:before="156" w:beforeLines="50"/>
        <w:rPr>
          <w:b/>
        </w:rPr>
      </w:pPr>
      <w:r>
        <w:rPr>
          <w:rFonts w:hint="eastAsia"/>
          <w:b/>
        </w:rPr>
        <w:t>第四维度：品牌影响力</w:t>
      </w:r>
    </w:p>
    <w:p w14:paraId="753B6C96">
      <w:pPr>
        <w:spacing w:before="156" w:beforeLines="50"/>
      </w:pPr>
      <w:r>
        <w:rPr>
          <w:rFonts w:hint="eastAsia"/>
        </w:rPr>
        <w:t>在市场的品牌形象及其所获市场荣誉</w:t>
      </w:r>
    </w:p>
    <w:p w14:paraId="4AEA18E0">
      <w:pPr>
        <w:widowControl/>
        <w:jc w:val="left"/>
        <w:rPr>
          <w:rFonts w:ascii="Cambria" w:hAnsi="Cambria"/>
          <w:b/>
          <w:bCs/>
          <w:kern w:val="28"/>
          <w:sz w:val="32"/>
          <w:szCs w:val="32"/>
        </w:rPr>
      </w:pPr>
      <w:bookmarkStart w:id="11" w:name="_Toc437356065"/>
    </w:p>
    <w:p w14:paraId="1C4D414F">
      <w:pPr>
        <w:widowControl/>
        <w:jc w:val="left"/>
        <w:rPr>
          <w:rFonts w:ascii="Cambria" w:hAnsi="Cambria"/>
          <w:b/>
          <w:bCs/>
          <w:kern w:val="28"/>
          <w:sz w:val="32"/>
          <w:szCs w:val="32"/>
        </w:rPr>
      </w:pPr>
    </w:p>
    <w:p w14:paraId="62E46094">
      <w:pPr>
        <w:widowControl/>
        <w:jc w:val="left"/>
        <w:rPr>
          <w:rFonts w:ascii="Cambria" w:hAnsi="Cambria"/>
          <w:b/>
          <w:bCs/>
          <w:kern w:val="28"/>
          <w:sz w:val="32"/>
          <w:szCs w:val="32"/>
        </w:rPr>
      </w:pPr>
    </w:p>
    <w:p w14:paraId="6713D69A">
      <w:pPr>
        <w:widowControl/>
        <w:jc w:val="left"/>
        <w:rPr>
          <w:rFonts w:ascii="Cambria" w:hAnsi="Cambria"/>
          <w:b/>
          <w:bCs/>
          <w:kern w:val="28"/>
          <w:sz w:val="32"/>
          <w:szCs w:val="32"/>
        </w:rPr>
      </w:pPr>
    </w:p>
    <w:p w14:paraId="21B329AC">
      <w:pPr>
        <w:widowControl/>
        <w:jc w:val="left"/>
        <w:rPr>
          <w:rFonts w:ascii="Cambria" w:hAnsi="Cambria"/>
          <w:b/>
          <w:bCs/>
          <w:kern w:val="28"/>
          <w:sz w:val="32"/>
          <w:szCs w:val="32"/>
        </w:rPr>
      </w:pPr>
    </w:p>
    <w:p w14:paraId="7374E731">
      <w:pPr>
        <w:widowControl/>
        <w:jc w:val="left"/>
        <w:rPr>
          <w:rFonts w:ascii="Cambria" w:hAnsi="Cambria"/>
          <w:b/>
          <w:bCs/>
          <w:kern w:val="28"/>
          <w:sz w:val="32"/>
          <w:szCs w:val="32"/>
        </w:rPr>
      </w:pPr>
    </w:p>
    <w:p w14:paraId="3391CE02">
      <w:pPr>
        <w:pStyle w:val="5"/>
      </w:pPr>
      <w:r>
        <w:rPr>
          <w:rFonts w:hint="eastAsia"/>
        </w:rPr>
        <w:t>六、评选流程</w:t>
      </w:r>
      <w:bookmarkEnd w:id="11"/>
    </w:p>
    <w:p w14:paraId="6B323EDC">
      <w:pPr>
        <w:spacing w:line="360" w:lineRule="auto"/>
        <w:ind w:firstLine="422"/>
        <w:rPr>
          <w:rFonts w:ascii="宋体" w:cs="宋体"/>
          <w:b/>
          <w:sz w:val="24"/>
          <w:szCs w:val="24"/>
        </w:rPr>
      </w:pPr>
      <w:r>
        <w:rPr>
          <w:rFonts w:ascii="宋体" w:hAnsi="宋体" w:cs="宋体"/>
          <w:b/>
          <w:sz w:val="24"/>
          <w:szCs w:val="24"/>
        </w:rPr>
        <w:t>1</w:t>
      </w:r>
      <w:r>
        <w:rPr>
          <w:rFonts w:hint="eastAsia" w:ascii="宋体" w:hAnsi="宋体" w:cs="宋体"/>
          <w:b/>
          <w:sz w:val="24"/>
          <w:szCs w:val="24"/>
        </w:rPr>
        <w:t>.评选委员</w:t>
      </w:r>
    </w:p>
    <w:p w14:paraId="0F06389E">
      <w:pPr>
        <w:ind w:left="420" w:leftChars="200"/>
        <w:rPr>
          <w:rFonts w:ascii="宋体" w:hAnsi="宋体" w:cs="宋体"/>
          <w:sz w:val="24"/>
          <w:szCs w:val="24"/>
        </w:rPr>
      </w:pPr>
      <w:r>
        <w:rPr>
          <w:rFonts w:hint="eastAsia" w:ascii="宋体" w:hAnsi="宋体" w:cs="宋体"/>
          <w:sz w:val="24"/>
          <w:szCs w:val="24"/>
        </w:rPr>
        <w:t>数据中心分会专家委员会</w:t>
      </w:r>
    </w:p>
    <w:p w14:paraId="0BCC9994">
      <w:pPr>
        <w:spacing w:line="360" w:lineRule="auto"/>
        <w:ind w:firstLine="420"/>
        <w:rPr>
          <w:rFonts w:ascii="宋体" w:cs="宋体"/>
          <w:sz w:val="24"/>
          <w:szCs w:val="24"/>
        </w:rPr>
      </w:pPr>
      <w:r>
        <w:rPr>
          <w:rFonts w:hint="eastAsia" w:ascii="宋体" w:hAnsi="宋体" w:cs="宋体"/>
          <w:sz w:val="24"/>
          <w:szCs w:val="24"/>
        </w:rPr>
        <w:t>北京国信天元质量测评认证有限公司提供测试验证技术支持。</w:t>
      </w:r>
    </w:p>
    <w:p w14:paraId="1CC2EEB6">
      <w:pPr>
        <w:spacing w:line="360" w:lineRule="auto"/>
        <w:ind w:firstLine="420"/>
        <w:rPr>
          <w:rFonts w:ascii="宋体" w:cs="宋体"/>
          <w:sz w:val="24"/>
          <w:szCs w:val="24"/>
        </w:rPr>
      </w:pPr>
      <w:r>
        <w:rPr>
          <w:rFonts w:ascii="宋体" w:hAnsi="宋体" w:cs="宋体"/>
          <w:b/>
          <w:sz w:val="24"/>
          <w:szCs w:val="24"/>
        </w:rPr>
        <w:t>2</w:t>
      </w:r>
      <w:r>
        <w:rPr>
          <w:rFonts w:hint="eastAsia" w:ascii="宋体" w:hAnsi="宋体" w:cs="宋体"/>
          <w:b/>
          <w:sz w:val="24"/>
          <w:szCs w:val="24"/>
        </w:rPr>
        <w:t>.评选程序安排</w:t>
      </w:r>
    </w:p>
    <w:p w14:paraId="36BD9E85">
      <w:pPr>
        <w:spacing w:line="360" w:lineRule="auto"/>
        <w:ind w:firstLine="422"/>
        <w:rPr>
          <w:szCs w:val="21"/>
        </w:rPr>
      </w:pPr>
      <w:r>
        <w:rPr>
          <w:rFonts w:ascii="宋体" w:hAnsi="宋体" w:cs="宋体"/>
          <w:sz w:val="24"/>
          <w:szCs w:val="24"/>
        </w:rPr>
        <w:t xml:space="preserve"> </w:t>
      </w:r>
      <w:r>
        <w:rPr>
          <w:szCs w:val="21"/>
        </w:rPr>
        <w:t>1</w:t>
      </w:r>
      <w:r>
        <w:rPr>
          <w:rFonts w:hint="eastAsia"/>
          <w:szCs w:val="21"/>
        </w:rPr>
        <w:t>）</w:t>
      </w:r>
      <w:r>
        <w:rPr>
          <w:szCs w:val="21"/>
        </w:rPr>
        <w:t xml:space="preserve"> </w:t>
      </w:r>
      <w:r>
        <w:rPr>
          <w:rFonts w:hint="eastAsia"/>
          <w:szCs w:val="21"/>
          <w:lang w:val="en-US" w:eastAsia="zh-CN"/>
        </w:rPr>
        <w:t>12月20日</w:t>
      </w:r>
      <w:r>
        <w:rPr>
          <w:rFonts w:hint="eastAsia"/>
          <w:szCs w:val="21"/>
        </w:rPr>
        <w:t>～1月</w:t>
      </w:r>
      <w:r>
        <w:rPr>
          <w:rFonts w:hint="eastAsia"/>
          <w:szCs w:val="21"/>
          <w:lang w:val="en-US" w:eastAsia="zh-CN"/>
        </w:rPr>
        <w:t>23</w:t>
      </w:r>
      <w:r>
        <w:rPr>
          <w:rFonts w:hint="eastAsia"/>
          <w:szCs w:val="21"/>
        </w:rPr>
        <w:t>日前，报名参选，或提名推荐（提交报名表格和相应数据资料）；</w:t>
      </w:r>
    </w:p>
    <w:p w14:paraId="20E2075A">
      <w:pPr>
        <w:spacing w:line="360" w:lineRule="auto"/>
        <w:ind w:firstLine="422"/>
        <w:rPr>
          <w:szCs w:val="21"/>
        </w:rPr>
      </w:pPr>
      <w:r>
        <w:rPr>
          <w:szCs w:val="21"/>
        </w:rPr>
        <w:t xml:space="preserve"> 2</w:t>
      </w:r>
      <w:r>
        <w:rPr>
          <w:rFonts w:hint="eastAsia"/>
          <w:szCs w:val="21"/>
        </w:rPr>
        <w:t>） 1月</w:t>
      </w:r>
      <w:r>
        <w:rPr>
          <w:rFonts w:hint="eastAsia"/>
          <w:szCs w:val="21"/>
          <w:lang w:val="en-US" w:eastAsia="zh-CN"/>
        </w:rPr>
        <w:t>26</w:t>
      </w:r>
      <w:r>
        <w:rPr>
          <w:rFonts w:hint="eastAsia"/>
          <w:szCs w:val="21"/>
        </w:rPr>
        <w:t>日～</w:t>
      </w:r>
      <w:r>
        <w:rPr>
          <w:rFonts w:hint="eastAsia"/>
          <w:szCs w:val="21"/>
          <w:lang w:val="en-US" w:eastAsia="zh-CN"/>
        </w:rPr>
        <w:t>1</w:t>
      </w:r>
      <w:r>
        <w:rPr>
          <w:rFonts w:hint="eastAsia"/>
          <w:szCs w:val="21"/>
        </w:rPr>
        <w:t>月</w:t>
      </w:r>
      <w:r>
        <w:rPr>
          <w:rFonts w:hint="eastAsia"/>
          <w:szCs w:val="21"/>
          <w:lang w:val="en-US" w:eastAsia="zh-CN"/>
        </w:rPr>
        <w:t>30</w:t>
      </w:r>
      <w:r>
        <w:rPr>
          <w:rFonts w:hint="eastAsia"/>
          <w:szCs w:val="21"/>
        </w:rPr>
        <w:t>日前由专家评选委员会组织进行初步审核（根据现有资料数据或进行进一步测试确定最终候选项目）；</w:t>
      </w:r>
    </w:p>
    <w:p w14:paraId="62A8601E">
      <w:pPr>
        <w:spacing w:line="360" w:lineRule="auto"/>
        <w:ind w:firstLine="422"/>
        <w:rPr>
          <w:rFonts w:hint="eastAsia" w:eastAsia="宋体"/>
          <w:szCs w:val="21"/>
          <w:lang w:val="en-US" w:eastAsia="zh-CN"/>
        </w:rPr>
      </w:pPr>
      <w:r>
        <w:rPr>
          <w:szCs w:val="21"/>
        </w:rPr>
        <w:t xml:space="preserve"> 3</w:t>
      </w:r>
      <w:r>
        <w:rPr>
          <w:rFonts w:hint="eastAsia"/>
          <w:szCs w:val="21"/>
        </w:rPr>
        <w:t>）</w:t>
      </w:r>
      <w:r>
        <w:rPr>
          <w:rFonts w:hint="eastAsia"/>
          <w:szCs w:val="21"/>
          <w:lang w:val="en-US" w:eastAsia="zh-CN"/>
        </w:rPr>
        <w:t>1</w:t>
      </w:r>
      <w:r>
        <w:rPr>
          <w:rFonts w:hint="eastAsia"/>
          <w:szCs w:val="21"/>
        </w:rPr>
        <w:t>月</w:t>
      </w:r>
      <w:r>
        <w:rPr>
          <w:rFonts w:hint="eastAsia"/>
          <w:szCs w:val="21"/>
          <w:lang w:val="en-US" w:eastAsia="zh-CN"/>
        </w:rPr>
        <w:t>30</w:t>
      </w:r>
      <w:r>
        <w:rPr>
          <w:rFonts w:hint="eastAsia"/>
          <w:szCs w:val="21"/>
        </w:rPr>
        <w:t>日～</w:t>
      </w:r>
      <w:r>
        <w:rPr>
          <w:rFonts w:hint="eastAsia"/>
          <w:szCs w:val="21"/>
          <w:lang w:val="en-US" w:eastAsia="zh-CN"/>
        </w:rPr>
        <w:t>2</w:t>
      </w:r>
      <w:r>
        <w:rPr>
          <w:rFonts w:hint="eastAsia"/>
          <w:szCs w:val="21"/>
        </w:rPr>
        <w:t>月</w:t>
      </w:r>
      <w:r>
        <w:rPr>
          <w:rFonts w:hint="eastAsia"/>
          <w:szCs w:val="21"/>
          <w:lang w:val="en-US" w:eastAsia="zh-CN"/>
        </w:rPr>
        <w:t>13</w:t>
      </w:r>
      <w:r>
        <w:rPr>
          <w:rFonts w:hint="eastAsia"/>
          <w:szCs w:val="21"/>
        </w:rPr>
        <w:t>日，分析核实情况，实地考察；</w:t>
      </w:r>
    </w:p>
    <w:p w14:paraId="178F65D4">
      <w:pPr>
        <w:spacing w:line="360" w:lineRule="auto"/>
        <w:ind w:firstLine="567" w:firstLineChars="270"/>
        <w:rPr>
          <w:szCs w:val="21"/>
        </w:rPr>
      </w:pPr>
      <w:r>
        <w:rPr>
          <w:szCs w:val="21"/>
        </w:rPr>
        <w:t>4</w:t>
      </w:r>
      <w:r>
        <w:rPr>
          <w:rFonts w:hint="eastAsia"/>
          <w:szCs w:val="21"/>
        </w:rPr>
        <w:t>）</w:t>
      </w:r>
      <w:r>
        <w:rPr>
          <w:rFonts w:hint="eastAsia"/>
          <w:szCs w:val="21"/>
          <w:lang w:val="en-US" w:eastAsia="zh-CN"/>
        </w:rPr>
        <w:t>2</w:t>
      </w:r>
      <w:r>
        <w:rPr>
          <w:rFonts w:hint="eastAsia"/>
          <w:szCs w:val="21"/>
        </w:rPr>
        <w:t>月</w:t>
      </w:r>
      <w:r>
        <w:rPr>
          <w:rFonts w:hint="eastAsia"/>
          <w:szCs w:val="21"/>
          <w:lang w:val="en-US" w:eastAsia="zh-CN"/>
        </w:rPr>
        <w:t>13</w:t>
      </w:r>
      <w:r>
        <w:rPr>
          <w:rFonts w:hint="eastAsia"/>
          <w:szCs w:val="21"/>
        </w:rPr>
        <w:t>日～</w:t>
      </w:r>
      <w:r>
        <w:rPr>
          <w:rFonts w:hint="eastAsia"/>
          <w:szCs w:val="21"/>
          <w:lang w:val="en-US" w:eastAsia="zh-CN"/>
        </w:rPr>
        <w:t>2月25日</w:t>
      </w:r>
      <w:r>
        <w:rPr>
          <w:rFonts w:hint="eastAsia"/>
          <w:szCs w:val="21"/>
        </w:rPr>
        <w:t>，</w:t>
      </w:r>
      <w:r>
        <w:rPr>
          <w:rFonts w:hint="eastAsia"/>
          <w:szCs w:val="21"/>
          <w:lang w:val="en-US" w:eastAsia="zh-CN"/>
        </w:rPr>
        <w:t>审核资料整理</w:t>
      </w:r>
      <w:r>
        <w:rPr>
          <w:rFonts w:hint="eastAsia"/>
          <w:szCs w:val="21"/>
        </w:rPr>
        <w:t>。</w:t>
      </w:r>
    </w:p>
    <w:p w14:paraId="6062A261">
      <w:pPr>
        <w:spacing w:line="360" w:lineRule="auto"/>
        <w:ind w:firstLine="567" w:firstLineChars="270"/>
        <w:rPr>
          <w:szCs w:val="21"/>
        </w:rPr>
      </w:pPr>
      <w:r>
        <w:rPr>
          <w:rFonts w:hint="eastAsia"/>
          <w:szCs w:val="21"/>
          <w:lang w:val="en-US" w:eastAsia="zh-CN"/>
        </w:rPr>
        <w:t>5</w:t>
      </w:r>
      <w:r>
        <w:rPr>
          <w:rFonts w:hint="eastAsia"/>
          <w:szCs w:val="21"/>
        </w:rPr>
        <w:t>）</w:t>
      </w:r>
      <w:r>
        <w:rPr>
          <w:rFonts w:hint="eastAsia"/>
          <w:szCs w:val="21"/>
          <w:lang w:val="en-US" w:eastAsia="zh-CN"/>
        </w:rPr>
        <w:t>2</w:t>
      </w:r>
      <w:r>
        <w:rPr>
          <w:rFonts w:hint="eastAsia"/>
          <w:szCs w:val="21"/>
        </w:rPr>
        <w:t>月</w:t>
      </w:r>
      <w:r>
        <w:rPr>
          <w:rFonts w:hint="eastAsia"/>
          <w:szCs w:val="21"/>
          <w:lang w:val="en-US" w:eastAsia="zh-CN"/>
        </w:rPr>
        <w:t>27</w:t>
      </w:r>
      <w:r>
        <w:rPr>
          <w:rFonts w:hint="eastAsia"/>
          <w:szCs w:val="21"/>
        </w:rPr>
        <w:t>日，终审。</w:t>
      </w:r>
    </w:p>
    <w:p w14:paraId="4960D3DC">
      <w:pPr>
        <w:pStyle w:val="5"/>
        <w:rPr>
          <w:lang w:val="zh-CN"/>
        </w:rPr>
      </w:pPr>
      <w:bookmarkStart w:id="12" w:name="_Toc437356066"/>
      <w:r>
        <w:rPr>
          <w:rFonts w:hint="eastAsia"/>
        </w:rPr>
        <w:t>七、评选结果发布及其推广</w:t>
      </w:r>
      <w:bookmarkEnd w:id="12"/>
    </w:p>
    <w:p w14:paraId="6083D337">
      <w:pPr>
        <w:spacing w:before="156" w:beforeLines="50"/>
        <w:rPr>
          <w:b/>
          <w:szCs w:val="20"/>
        </w:rPr>
      </w:pPr>
      <w:r>
        <w:rPr>
          <w:rFonts w:hint="eastAsia"/>
          <w:b/>
          <w:szCs w:val="20"/>
        </w:rPr>
        <w:t>结果发布：</w:t>
      </w:r>
    </w:p>
    <w:p w14:paraId="6725AE30">
      <w:pPr>
        <w:spacing w:before="156" w:beforeLines="50"/>
        <w:rPr>
          <w:rFonts w:hint="default" w:eastAsia="宋体"/>
          <w:sz w:val="20"/>
          <w:szCs w:val="20"/>
          <w:lang w:val="en-US" w:eastAsia="zh-CN"/>
        </w:rPr>
      </w:pPr>
      <w:r>
        <w:rPr>
          <w:rFonts w:hint="eastAsia"/>
          <w:szCs w:val="21"/>
        </w:rPr>
        <w:t>1.时间：</w:t>
      </w:r>
      <w:r>
        <w:rPr>
          <w:rFonts w:hint="eastAsia"/>
          <w:szCs w:val="21"/>
          <w:lang w:val="en-US" w:eastAsia="zh-CN"/>
        </w:rPr>
        <w:t>2026年</w:t>
      </w:r>
      <w:r>
        <w:rPr>
          <w:rFonts w:hint="eastAsia"/>
          <w:szCs w:val="21"/>
        </w:rPr>
        <w:t>3</w:t>
      </w:r>
      <w:r>
        <w:rPr>
          <w:rFonts w:hint="eastAsia"/>
          <w:sz w:val="20"/>
          <w:szCs w:val="20"/>
        </w:rPr>
        <w:t>月</w:t>
      </w:r>
      <w:r>
        <w:rPr>
          <w:rFonts w:hint="eastAsia"/>
          <w:sz w:val="20"/>
          <w:szCs w:val="20"/>
          <w:lang w:val="en-US" w:eastAsia="zh-CN"/>
        </w:rPr>
        <w:t>26日</w:t>
      </w:r>
    </w:p>
    <w:p w14:paraId="673954D5">
      <w:pPr>
        <w:spacing w:before="156" w:beforeLines="50"/>
        <w:rPr>
          <w:szCs w:val="21"/>
        </w:rPr>
      </w:pPr>
      <w:r>
        <w:rPr>
          <w:rFonts w:hint="eastAsia"/>
          <w:szCs w:val="21"/>
        </w:rPr>
        <w:t>2.地点：北京</w:t>
      </w:r>
    </w:p>
    <w:p w14:paraId="1A822287">
      <w:pPr>
        <w:spacing w:before="156" w:beforeLines="50"/>
        <w:rPr>
          <w:szCs w:val="21"/>
        </w:rPr>
      </w:pPr>
      <w:r>
        <w:rPr>
          <w:rFonts w:hint="eastAsia"/>
          <w:szCs w:val="21"/>
        </w:rPr>
        <w:t>3.形式：在“</w:t>
      </w:r>
      <w:r>
        <w:rPr>
          <w:szCs w:val="21"/>
        </w:rPr>
        <w:t xml:space="preserve"> </w:t>
      </w:r>
      <w:r>
        <w:rPr>
          <w:rFonts w:hint="eastAsia"/>
          <w:szCs w:val="21"/>
          <w:lang w:val="en-US" w:eastAsia="zh-CN"/>
        </w:rPr>
        <w:t>第十七届</w:t>
      </w:r>
      <w:r>
        <w:rPr>
          <w:rFonts w:hint="eastAsia"/>
          <w:szCs w:val="21"/>
        </w:rPr>
        <w:t>中国数据中心</w:t>
      </w:r>
      <w:r>
        <w:rPr>
          <w:rFonts w:hint="eastAsia"/>
          <w:szCs w:val="21"/>
          <w:lang w:val="en-US" w:eastAsia="zh-CN"/>
        </w:rPr>
        <w:t>大</w:t>
      </w:r>
      <w:r>
        <w:rPr>
          <w:rFonts w:hint="eastAsia"/>
          <w:szCs w:val="21"/>
        </w:rPr>
        <w:t>会”上举行隆重发布获奖结果并刊发会议手册。</w:t>
      </w:r>
    </w:p>
    <w:p w14:paraId="202C7BCD">
      <w:pPr>
        <w:spacing w:before="156" w:beforeLines="50"/>
        <w:rPr>
          <w:szCs w:val="21"/>
        </w:rPr>
      </w:pPr>
      <w:r>
        <w:rPr>
          <w:rFonts w:hint="eastAsia"/>
          <w:szCs w:val="21"/>
        </w:rPr>
        <w:t>推广：1）官方网站</w:t>
      </w:r>
      <w:r>
        <w:rPr>
          <w:rFonts w:hint="eastAsia"/>
          <w:color w:val="000000"/>
          <w:szCs w:val="21"/>
        </w:rPr>
        <w:t>（</w:t>
      </w:r>
      <w:r>
        <w:fldChar w:fldCharType="begin"/>
      </w:r>
      <w:r>
        <w:instrText xml:space="preserve"> HYPERLINK "http://www.chinadcc.org" </w:instrText>
      </w:r>
      <w:r>
        <w:fldChar w:fldCharType="separate"/>
      </w:r>
      <w:r>
        <w:rPr>
          <w:rStyle w:val="8"/>
          <w:rFonts w:hint="eastAsia"/>
          <w:color w:val="000000"/>
          <w:szCs w:val="21"/>
        </w:rPr>
        <w:t>www.cra-ccua.org.cn</w:t>
      </w:r>
      <w:r>
        <w:rPr>
          <w:rStyle w:val="8"/>
          <w:rFonts w:hint="eastAsia"/>
          <w:color w:val="000000"/>
          <w:szCs w:val="21"/>
        </w:rPr>
        <w:fldChar w:fldCharType="end"/>
      </w:r>
      <w:r>
        <w:rPr>
          <w:rFonts w:hint="eastAsia"/>
          <w:szCs w:val="21"/>
        </w:rPr>
        <w:t>）、微信公众号刊登获奖结果；</w:t>
      </w:r>
    </w:p>
    <w:p w14:paraId="450EFA92">
      <w:pPr>
        <w:spacing w:before="156" w:beforeLines="50"/>
        <w:ind w:firstLine="630" w:firstLineChars="300"/>
        <w:rPr>
          <w:szCs w:val="21"/>
        </w:rPr>
      </w:pPr>
      <w:r>
        <w:rPr>
          <w:rFonts w:hint="eastAsia"/>
          <w:szCs w:val="21"/>
        </w:rPr>
        <w:t>2）十几家业界主流媒体图文直播；</w:t>
      </w:r>
    </w:p>
    <w:p w14:paraId="03A175FE">
      <w:pPr>
        <w:spacing w:before="156" w:beforeLines="50"/>
        <w:rPr>
          <w:b/>
          <w:szCs w:val="21"/>
        </w:rPr>
      </w:pPr>
      <w:r>
        <w:rPr>
          <w:rFonts w:hint="eastAsia"/>
          <w:b/>
          <w:szCs w:val="20"/>
        </w:rPr>
        <w:t>备注：</w:t>
      </w:r>
      <w:r>
        <w:rPr>
          <w:rFonts w:hint="eastAsia" w:ascii="Arial" w:hAnsi="Arial" w:cs="Arial"/>
          <w:b/>
          <w:color w:val="333333"/>
          <w:szCs w:val="21"/>
        </w:rPr>
        <w:t>所有参评数据中心方案及其产品均不收取任何评选费用。</w:t>
      </w:r>
    </w:p>
    <w:p w14:paraId="4DF0CD6D">
      <w:pPr>
        <w:pStyle w:val="5"/>
        <w:rPr>
          <w:rFonts w:ascii="宋体" w:hAnsi="宋体" w:cs="宋体"/>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22599">
    <w:pPr>
      <w:pStyle w:val="3"/>
      <w:jc w:val="center"/>
    </w:pPr>
  </w:p>
  <w:p w14:paraId="06A615F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AFAAB">
    <w:pPr>
      <w:pStyle w:val="3"/>
      <w:jc w:val="center"/>
    </w:pPr>
  </w:p>
  <w:p w14:paraId="4E82E577">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C2968"/>
    <w:multiLevelType w:val="singleLevel"/>
    <w:tmpl w:val="02FC2968"/>
    <w:lvl w:ilvl="0" w:tentative="0">
      <w:start w:val="6"/>
      <w:numFmt w:val="decimal"/>
      <w:suff w:val="space"/>
      <w:lvlText w:val="%1."/>
      <w:lvlJc w:val="left"/>
    </w:lvl>
  </w:abstractNum>
  <w:abstractNum w:abstractNumId="1">
    <w:nsid w:val="793D6BB1"/>
    <w:multiLevelType w:val="multilevel"/>
    <w:tmpl w:val="793D6BB1"/>
    <w:lvl w:ilvl="0" w:tentative="0">
      <w:start w:val="1"/>
      <w:numFmt w:val="bullet"/>
      <w:lvlText w:val="•"/>
      <w:lvlJc w:val="left"/>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3YmQ0MDIxZTRiNzY3ZDAwZTRhMWQ1MDgxNzZmYTYifQ=="/>
  </w:docVars>
  <w:rsids>
    <w:rsidRoot w:val="00362858"/>
    <w:rsid w:val="000238F6"/>
    <w:rsid w:val="00075F99"/>
    <w:rsid w:val="00087883"/>
    <w:rsid w:val="000B43B9"/>
    <w:rsid w:val="00141B34"/>
    <w:rsid w:val="00145844"/>
    <w:rsid w:val="00184D1A"/>
    <w:rsid w:val="001D1CC2"/>
    <w:rsid w:val="001F330A"/>
    <w:rsid w:val="002048EB"/>
    <w:rsid w:val="0025450E"/>
    <w:rsid w:val="00270621"/>
    <w:rsid w:val="00362858"/>
    <w:rsid w:val="004815CE"/>
    <w:rsid w:val="004C4FCC"/>
    <w:rsid w:val="005024A1"/>
    <w:rsid w:val="00542A56"/>
    <w:rsid w:val="005C766F"/>
    <w:rsid w:val="0067012F"/>
    <w:rsid w:val="00671CD2"/>
    <w:rsid w:val="00674209"/>
    <w:rsid w:val="00693BF6"/>
    <w:rsid w:val="006D46BD"/>
    <w:rsid w:val="00740CDC"/>
    <w:rsid w:val="007472F2"/>
    <w:rsid w:val="007B4403"/>
    <w:rsid w:val="007E2E1B"/>
    <w:rsid w:val="007F78D6"/>
    <w:rsid w:val="00833048"/>
    <w:rsid w:val="008621E6"/>
    <w:rsid w:val="00864D13"/>
    <w:rsid w:val="008B54D8"/>
    <w:rsid w:val="008E7E31"/>
    <w:rsid w:val="00936D0B"/>
    <w:rsid w:val="00993444"/>
    <w:rsid w:val="009C74A0"/>
    <w:rsid w:val="00A55BC2"/>
    <w:rsid w:val="00AB78F7"/>
    <w:rsid w:val="00AC0B84"/>
    <w:rsid w:val="00B51B6F"/>
    <w:rsid w:val="00C04822"/>
    <w:rsid w:val="00C13318"/>
    <w:rsid w:val="00C54689"/>
    <w:rsid w:val="00E71F03"/>
    <w:rsid w:val="00E7486D"/>
    <w:rsid w:val="00ED0821"/>
    <w:rsid w:val="00F46F9D"/>
    <w:rsid w:val="00F63416"/>
    <w:rsid w:val="00FE2D5C"/>
    <w:rsid w:val="049C2BBC"/>
    <w:rsid w:val="05E82A63"/>
    <w:rsid w:val="06F316D5"/>
    <w:rsid w:val="09524F20"/>
    <w:rsid w:val="09DA170C"/>
    <w:rsid w:val="0BB12A9D"/>
    <w:rsid w:val="0FA7267C"/>
    <w:rsid w:val="103C4234"/>
    <w:rsid w:val="119A64F4"/>
    <w:rsid w:val="14A02FE7"/>
    <w:rsid w:val="17191025"/>
    <w:rsid w:val="17E50CAD"/>
    <w:rsid w:val="18060730"/>
    <w:rsid w:val="19990B09"/>
    <w:rsid w:val="1AF06347"/>
    <w:rsid w:val="1D12137D"/>
    <w:rsid w:val="1ED33FB6"/>
    <w:rsid w:val="1F7F5EEC"/>
    <w:rsid w:val="21B47F11"/>
    <w:rsid w:val="21B9402B"/>
    <w:rsid w:val="28AF7619"/>
    <w:rsid w:val="28CB1BAB"/>
    <w:rsid w:val="2BDE442F"/>
    <w:rsid w:val="2D477EDA"/>
    <w:rsid w:val="39CE564E"/>
    <w:rsid w:val="3BA23236"/>
    <w:rsid w:val="3BE34E62"/>
    <w:rsid w:val="3CC66589"/>
    <w:rsid w:val="4C307823"/>
    <w:rsid w:val="4D5C3245"/>
    <w:rsid w:val="4FE72EE2"/>
    <w:rsid w:val="510D66A2"/>
    <w:rsid w:val="51980673"/>
    <w:rsid w:val="541C39D8"/>
    <w:rsid w:val="5714693E"/>
    <w:rsid w:val="588D5350"/>
    <w:rsid w:val="6114070F"/>
    <w:rsid w:val="62373E29"/>
    <w:rsid w:val="66974E96"/>
    <w:rsid w:val="67BD2434"/>
    <w:rsid w:val="6AB9187F"/>
    <w:rsid w:val="6D900579"/>
    <w:rsid w:val="6EC86534"/>
    <w:rsid w:val="7010770F"/>
    <w:rsid w:val="774C73AB"/>
    <w:rsid w:val="78E35173"/>
    <w:rsid w:val="79E47F9A"/>
    <w:rsid w:val="7E137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autoRedefine/>
    <w:semiHidden/>
    <w:unhideWhenUsed/>
    <w:qFormat/>
    <w:uiPriority w:val="99"/>
    <w:rPr>
      <w:sz w:val="18"/>
      <w:szCs w:val="18"/>
    </w:rPr>
  </w:style>
  <w:style w:type="paragraph" w:styleId="3">
    <w:name w:val="footer"/>
    <w:basedOn w:val="1"/>
    <w:link w:val="10"/>
    <w:autoRedefine/>
    <w:qFormat/>
    <w:uiPriority w:val="99"/>
    <w:pPr>
      <w:tabs>
        <w:tab w:val="center" w:pos="4153"/>
        <w:tab w:val="right" w:pos="8306"/>
      </w:tabs>
      <w:snapToGrid w:val="0"/>
      <w:jc w:val="left"/>
    </w:pPr>
    <w:rPr>
      <w:sz w:val="18"/>
      <w:szCs w:val="18"/>
      <w:lang w:val="zh-CN"/>
    </w:rPr>
  </w:style>
  <w:style w:type="paragraph" w:styleId="4">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2"/>
    <w:autoRedefine/>
    <w:qFormat/>
    <w:uiPriority w:val="0"/>
    <w:pPr>
      <w:spacing w:before="240" w:after="60" w:line="312" w:lineRule="auto"/>
      <w:jc w:val="left"/>
      <w:outlineLvl w:val="1"/>
    </w:pPr>
    <w:rPr>
      <w:rFonts w:ascii="Cambria" w:hAnsi="Cambria"/>
      <w:b/>
      <w:bCs/>
      <w:kern w:val="28"/>
      <w:sz w:val="32"/>
      <w:szCs w:val="32"/>
    </w:rPr>
  </w:style>
  <w:style w:type="character" w:styleId="8">
    <w:name w:val="Hyperlink"/>
    <w:qFormat/>
    <w:uiPriority w:val="99"/>
    <w:rPr>
      <w:color w:val="0000FF"/>
      <w:u w:val="single"/>
    </w:rPr>
  </w:style>
  <w:style w:type="character" w:customStyle="1" w:styleId="9">
    <w:name w:val="页脚 字符"/>
    <w:basedOn w:val="7"/>
    <w:semiHidden/>
    <w:qFormat/>
    <w:uiPriority w:val="99"/>
    <w:rPr>
      <w:rFonts w:ascii="Calibri" w:hAnsi="Calibri" w:eastAsia="宋体" w:cs="Times New Roman"/>
      <w:sz w:val="18"/>
      <w:szCs w:val="18"/>
    </w:rPr>
  </w:style>
  <w:style w:type="character" w:customStyle="1" w:styleId="10">
    <w:name w:val="页脚 字符1"/>
    <w:link w:val="3"/>
    <w:qFormat/>
    <w:uiPriority w:val="99"/>
    <w:rPr>
      <w:rFonts w:ascii="Calibri" w:hAnsi="Calibri" w:eastAsia="宋体" w:cs="Times New Roman"/>
      <w:sz w:val="18"/>
      <w:szCs w:val="18"/>
      <w:lang w:val="zh-CN" w:eastAsia="zh-CN"/>
    </w:rPr>
  </w:style>
  <w:style w:type="character" w:customStyle="1" w:styleId="11">
    <w:name w:val="副标题 字符"/>
    <w:basedOn w:val="7"/>
    <w:qFormat/>
    <w:uiPriority w:val="11"/>
    <w:rPr>
      <w:b/>
      <w:bCs/>
      <w:kern w:val="28"/>
      <w:sz w:val="32"/>
      <w:szCs w:val="32"/>
    </w:rPr>
  </w:style>
  <w:style w:type="character" w:customStyle="1" w:styleId="12">
    <w:name w:val="副标题 字符1"/>
    <w:link w:val="5"/>
    <w:qFormat/>
    <w:uiPriority w:val="0"/>
    <w:rPr>
      <w:rFonts w:ascii="Cambria" w:hAnsi="Cambria" w:eastAsia="宋体" w:cs="Times New Roman"/>
      <w:b/>
      <w:bCs/>
      <w:kern w:val="28"/>
      <w:sz w:val="32"/>
      <w:szCs w:val="32"/>
    </w:rPr>
  </w:style>
  <w:style w:type="paragraph" w:customStyle="1" w:styleId="13">
    <w:name w:val="_Style 10"/>
    <w:basedOn w:val="1"/>
    <w:next w:val="1"/>
    <w:unhideWhenUsed/>
    <w:qFormat/>
    <w:uiPriority w:val="39"/>
    <w:pPr>
      <w:widowControl/>
      <w:spacing w:after="100" w:line="276" w:lineRule="auto"/>
      <w:ind w:left="220"/>
      <w:jc w:val="left"/>
    </w:pPr>
    <w:rPr>
      <w:kern w:val="0"/>
      <w:sz w:val="22"/>
    </w:rPr>
  </w:style>
  <w:style w:type="paragraph" w:styleId="14">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5">
    <w:name w:val="批注框文本 字符"/>
    <w:basedOn w:val="7"/>
    <w:link w:val="2"/>
    <w:semiHidden/>
    <w:qFormat/>
    <w:uiPriority w:val="99"/>
    <w:rPr>
      <w:rFonts w:ascii="Calibri" w:hAnsi="Calibri" w:eastAsia="宋体" w:cs="Times New Roman"/>
      <w:sz w:val="18"/>
      <w:szCs w:val="18"/>
    </w:rPr>
  </w:style>
  <w:style w:type="character" w:customStyle="1" w:styleId="16">
    <w:name w:val="未处理的提及1"/>
    <w:basedOn w:val="7"/>
    <w:semiHidden/>
    <w:unhideWhenUsed/>
    <w:qFormat/>
    <w:uiPriority w:val="99"/>
    <w:rPr>
      <w:color w:val="605E5C"/>
      <w:shd w:val="clear" w:color="auto" w:fill="E1DFDD"/>
    </w:rPr>
  </w:style>
  <w:style w:type="character" w:customStyle="1" w:styleId="17">
    <w:name w:val="页眉 字符"/>
    <w:basedOn w:val="7"/>
    <w:link w:val="4"/>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3949</Words>
  <Characters>4050</Characters>
  <Lines>32</Lines>
  <Paragraphs>9</Paragraphs>
  <TotalTime>1</TotalTime>
  <ScaleCrop>false</ScaleCrop>
  <LinksUpToDate>false</LinksUpToDate>
  <CharactersWithSpaces>4123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2023-05-04T02:44:00Z</dcterms:created>
  <dc:creator>jc@cra-ccua.org.cn</dc:creator>
  <cp:lastModifiedBy>张晓曼</cp:lastModifiedBy>
  <cp:lastPrinted>2023-04-20T07:10:00Z</cp:lastPrinted>
  <dcterms:modified xsi:type="dcterms:W3CDTF">2025-12-17T07:36:31Z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843B7C00F5124BC282C81980CA88FD82_13</vt:lpwstr>
  </property>
  <property fmtid="{D5CDD505-2E9C-101B-9397-08002B2CF9AE}" pid="4" name="KSOTemplateDocerSaveRecord">
    <vt:lpwstr>eyJoZGlkIjoiYWQ3YmQ0MDIxZTRiNzY3ZDAwZTRhMWQ1MDgxNzZmYTYiLCJ1c2VySWQiOiIzNzU2ODEyODMifQ==</vt:lpwstr>
  </property>
</Properties>
</file>